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caries (TILLCA)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The reticulate-spored common bunt pathogen is referred to as both T. caries and T. tritici in the literature. The nomenclatural confusion is due to in part to the controversial first account of this smut, but T. caries is the correct name (Bockus et al, 2010).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(1990); Bulgaria (1993); Cyprus (1990); Czech Republic (2011); Denmark (1993); Estonia (1990); Finland (2011); France (1990); Germany (1993); Greece (1994); Greece/Kriti (1994); Ireland (1990); Italy (1990); Latvia (1990); Lithuania (1990); Netherlands (1990); Poland (1990); Portugal (1993); Romania (1990); Spain (1990);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966a0426be8f78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aestivum (including e.g. Triticum aestivum subsp. aestivum: wheat, and Triticum aestivum subsp. spelta: spelt wheat) is the mainly impacted host plant (Balau &amp; Ulea, 2015; CABI, 2020). Experts noted that T. turgidum ssp. durum, x Triticosecale and Secale cereale are also main hosts of Tilletia caries (Vánky, 2012). Additional hosts are reported. Consequently, experts considered that additional pest/host combinations should be assessed for the RNQP status.</w:t>
      </w:r>
      <w:r>
        <w:rPr>
          <w:color w:val="0200C9"/>
          <w:sz w:val="24"/>
          <w:szCs w:val="24"/>
        </w:rPr>
        <w:br/>
        <w:br/>
        <w:t xml:space="preserve">Movement of wheat seed is a pathway. Ustilospores are also spread by wind on hundreds of kilometers and can contaminate soil. The fungus can survive for many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2020).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 aestivum is mainly impacted by T. caries, but the fungus can also infect other cereals such as T. durum, T. monococcum etc.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More recently, common bunt has re-emerged in low-input and organic wheat, most notably in northern and western Europe (Matanguihan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showed a similar efficacy to the Pseudomonas product (AGES, 2021).</w:t>
      </w:r>
      <w:r>
        <w:rPr>
          <w:color w:val="0200C9"/>
          <w:sz w:val="24"/>
          <w:szCs w:val="24"/>
        </w:rPr>
        <w:br/>
        <w:t xml:space="preserve">Cultivars showing resistance to a particular races can be used. However, the differentiation between susceptible/unsusceptible or resistant cultivars isn‘t easy and may also depend on the Tilletia caries races. There are so many different races that if only one race overcomes the resistance or isn‘t included, the protection is not enough anymore.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Recommended and/or prescribed thresholds range from 20 spores of T. caries/seed in Germany, 10 spores/seed in Austria and Switzerland, one spore/seed in Scotland, to intervention at first appearance in Denmark (Waldow &amp; Jahn, 2007) and France. Waldow &amp; Jahn (2007) recommends a treatment threshold for T. caries of one spore/seed for susceptible wheat cultivars and 20 spores/seed for less susceptible cultivars.</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infection when seeds are sown with a certain infection level,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soil sown under greenhouse and field conditions (</w:t>
      </w:r>
      <w:hyperlink r:id="rId31676a0426be906b0"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caries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59996a0426be9091c"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66296a0426be90950"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49296a0426be9097a"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49476a0426be909a2"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42576a0426be909ca"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Balau &amp; Ulea (2015) Research Regarding Wheat (Triticum aestivum L.) Resistance to Tilletia caries (DC.) Tul. Infection. Bulletin USAMV series Agriculture 72(1). DOI 10.15835/buasvmcn-agr: 10426</w:t>
      </w:r>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40356a0426be90a1f"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83486a0426be90a45"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48446a0426be90a6d"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62696a0426be90a93"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Matanguihan JB, Murphy KM &amp; Jones SS (2011) Control of common bunt in organic wheat. Plant Disease 95(2), 92-103.</w:t>
      </w:r>
    </w:p>
    <w:p>
      <w:pPr>
        <w:numPr>
          <w:ilvl w:val="0"/>
          <w:numId w:val="1"/>
        </w:numPr>
        <w:spacing w:before="0" w:after="0" w:line="240" w:lineRule="auto"/>
        <w:jc w:val="left"/>
        <w:rPr>
          <w:color w:val="0200C9"/>
          <w:sz w:val="24"/>
          <w:szCs w:val="24"/>
        </w:rPr>
      </w:pPr>
      <w:r>
        <w:rPr>
          <w:color w:val="0200C9"/>
          <w:sz w:val="24"/>
          <w:szCs w:val="24"/>
        </w:rPr>
        <w:t xml:space="preserve">Oerke EC, Dehne HW, Schönbeck F &amp; Weber A (1994) Crop Production and Protection. Amsterdam: Elsevier</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susciptibility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47350">
    <w:multiLevelType w:val="hybridMultilevel"/>
    <w:lvl w:ilvl="0" w:tplc="12225772">
      <w:start w:val="1"/>
      <w:numFmt w:val="decimal"/>
      <w:lvlText w:val="%1."/>
      <w:lvlJc w:val="left"/>
      <w:pPr>
        <w:ind w:left="720" w:hanging="360"/>
      </w:pPr>
    </w:lvl>
    <w:lvl w:ilvl="1" w:tplc="12225772" w:tentative="1">
      <w:start w:val="1"/>
      <w:numFmt w:val="lowerLetter"/>
      <w:lvlText w:val="%2."/>
      <w:lvlJc w:val="left"/>
      <w:pPr>
        <w:ind w:left="1440" w:hanging="360"/>
      </w:pPr>
    </w:lvl>
    <w:lvl w:ilvl="2" w:tplc="12225772" w:tentative="1">
      <w:start w:val="1"/>
      <w:numFmt w:val="lowerRoman"/>
      <w:lvlText w:val="%3."/>
      <w:lvlJc w:val="right"/>
      <w:pPr>
        <w:ind w:left="2160" w:hanging="180"/>
      </w:pPr>
    </w:lvl>
    <w:lvl w:ilvl="3" w:tplc="12225772" w:tentative="1">
      <w:start w:val="1"/>
      <w:numFmt w:val="decimal"/>
      <w:lvlText w:val="%4."/>
      <w:lvlJc w:val="left"/>
      <w:pPr>
        <w:ind w:left="2880" w:hanging="360"/>
      </w:pPr>
    </w:lvl>
    <w:lvl w:ilvl="4" w:tplc="12225772" w:tentative="1">
      <w:start w:val="1"/>
      <w:numFmt w:val="lowerLetter"/>
      <w:lvlText w:val="%5."/>
      <w:lvlJc w:val="left"/>
      <w:pPr>
        <w:ind w:left="3600" w:hanging="360"/>
      </w:pPr>
    </w:lvl>
    <w:lvl w:ilvl="5" w:tplc="12225772" w:tentative="1">
      <w:start w:val="1"/>
      <w:numFmt w:val="lowerRoman"/>
      <w:lvlText w:val="%6."/>
      <w:lvlJc w:val="right"/>
      <w:pPr>
        <w:ind w:left="4320" w:hanging="180"/>
      </w:pPr>
    </w:lvl>
    <w:lvl w:ilvl="6" w:tplc="12225772" w:tentative="1">
      <w:start w:val="1"/>
      <w:numFmt w:val="decimal"/>
      <w:lvlText w:val="%7."/>
      <w:lvlJc w:val="left"/>
      <w:pPr>
        <w:ind w:left="5040" w:hanging="360"/>
      </w:pPr>
    </w:lvl>
    <w:lvl w:ilvl="7" w:tplc="12225772" w:tentative="1">
      <w:start w:val="1"/>
      <w:numFmt w:val="lowerLetter"/>
      <w:lvlText w:val="%8."/>
      <w:lvlJc w:val="left"/>
      <w:pPr>
        <w:ind w:left="5760" w:hanging="360"/>
      </w:pPr>
    </w:lvl>
    <w:lvl w:ilvl="8" w:tplc="12225772" w:tentative="1">
      <w:start w:val="1"/>
      <w:numFmt w:val="lowerRoman"/>
      <w:lvlText w:val="%9."/>
      <w:lvlJc w:val="right"/>
      <w:pPr>
        <w:ind w:left="6480" w:hanging="180"/>
      </w:pPr>
    </w:lvl>
  </w:abstractNum>
  <w:abstractNum w:abstractNumId="14347349">
    <w:multiLevelType w:val="hybridMultilevel"/>
    <w:lvl w:ilvl="0" w:tplc="71678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47349">
    <w:abstractNumId w:val="14347349"/>
  </w:num>
  <w:num w:numId="14347350">
    <w:abstractNumId w:val="14347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499061" Type="http://schemas.microsoft.com/office/2011/relationships/commentsExtended" Target="commentsExtended.xml"/><Relationship Id="rId53966a0426be8f782" Type="http://schemas.openxmlformats.org/officeDocument/2006/relationships/hyperlink" Target="https://gd.eppo.int/" TargetMode="External"/><Relationship Id="rId31676a0426be906b0" Type="http://schemas.openxmlformats.org/officeDocument/2006/relationships/hyperlink" Target="https://www.eppo.int/media/uploaded_images/MEETINGS/Meetings_2015/testa_angers/07_Orgeur.pdf" TargetMode="External"/><Relationship Id="rId59996a0426be9091c" Type="http://schemas.openxmlformats.org/officeDocument/2006/relationships/hyperlink" Target="https://dafne.at/content/report_release/bc582bd9-3d39-4077-b287-ba35e9f51b6d_0.pdf" TargetMode="External"/><Relationship Id="rId66296a0426be90950" Type="http://schemas.openxmlformats.org/officeDocument/2006/relationships/hyperlink" Target="http://www.saatgut-austria.at/MEDIA/67%20Tagungsband%20Gumpenstein%202017.pdf" TargetMode="External"/><Relationship Id="rId49296a0426be9097a" Type="http://schemas.openxmlformats.org/officeDocument/2006/relationships/hyperlink" Target="https://www.liveseed.eu/wp-content/uploads/2021/10/AGES-field-trial_Bunt_Tilletia_Final-report_WP2.pdf" TargetMode="External"/><Relationship Id="rId49476a0426be909a2" Type="http://schemas.openxmlformats.org/officeDocument/2006/relationships/hyperlink" Target="https://www.arvalis.fr/infos-techniques/les-traitements-de-semences-indispensable-pour-la-protection-contre-la-carie" TargetMode="External"/><Relationship Id="rId42576a0426be909ca" Type="http://schemas.openxmlformats.org/officeDocument/2006/relationships/hyperlink" Target="https://fiches.arvalis-infos.fr/fiche_accident/fiches_accidents.php?mode=fa&amp;type_cul=1&amp;type_acc=4&amp;id_acc=81" TargetMode="External"/><Relationship Id="rId40356a0426be90a1f" Type="http://schemas.openxmlformats.org/officeDocument/2006/relationships/hyperlink" Target="https://doi.org/10.1079/cabicompendium.53923" TargetMode="External"/><Relationship Id="rId83486a0426be90a45" Type="http://schemas.openxmlformats.org/officeDocument/2006/relationships/hyperlink" Target="https://livre-blanc-cereales.be/thematiques/maladies/froment/thematiques-maladies-froment-carie/" TargetMode="External"/><Relationship Id="rId48446a0426be90a6d" Type="http://schemas.openxmlformats.org/officeDocument/2006/relationships/hyperlink" Target="https://orgprints.org/id/eprint/26256/1/Fontaine_2013_CIAG_Vol32.pdf" TargetMode="External"/><Relationship Id="rId62696a0426be90a93"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