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Chondrostereum purpureum (STERPU)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Finland (Vartiamäki et al., 2009), Netherlands (De Jong et al., 1990) and various other EPPO countries.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Chondrostereum purpureum recommended in EPPO Standard PM 4-27 Pathogen-tested material of Malus, Pyrus and Cydonia. However, in the responses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color w:val="F30000"/>
          <w:sz w:val="24"/>
          <w:szCs w:val="24"/>
        </w:rPr>
        <w:br/>
        <w:t xml:space="preserve">[In responses to the questionnaire, NL commented that the pest was 'airborne and widespread in nature'.]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Silver leaf (Condrostereum purpureum) is a minor disease of apple and pear. It is more common on old trees, particularly trees that have been topworked several times or those with large pruning wounds made to remove scaffold limbs, that on young vigorous trees (Fujita, 1990; Biggs, 2017)</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30586a3fba9a18462"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Fujita K (1990) Silver leaf. In Compendium of Apple and Pear Diseases 1st edition (ed Jones AL &amp; Aldwinckle HS). American Phytopathological Society, St Paul, MN, USA. pages 42-43.</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Spiers AG, Brewster DT, Bus VG &amp; Hopcroft DH (1998). Seasonal variation in susceptibility of xylem tissue of Malus, Pyrus, Prunus, and Salix species to Chondrostereum purpureum in New Zealand. Mycological Research 102(7), 881-890.</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There are no EPPO PM4 Standard for Juglans.</w:t>
      </w:r>
      <w:r>
        <w:rPr>
          <w:color w:val="0200C9"/>
          <w:sz w:val="24"/>
          <w:szCs w:val="24"/>
        </w:rPr>
        <w:br/>
        <w:t xml:space="preserve">In the responses to the RNQP questionnaire, PL supported deregulation because of acceptable impact.</w:t>
      </w:r>
      <w:r>
        <w:rPr>
          <w:color w:val="0200C9"/>
          <w:sz w:val="24"/>
          <w:szCs w:val="24"/>
        </w:rPr>
        <w:br/>
        <w:t xml:space="preserve">Remark: In PM 4 Standards for some other species e.g. pome fruits, it is mentioned iunder “inspection of other pests” (PM4/27).</w:t>
      </w:r>
      <w:r>
        <w:rPr>
          <w:color w:val="0200C9"/>
          <w:sz w:val="24"/>
          <w:szCs w:val="24"/>
        </w:rPr>
        <w:br/>
        <w:t xml:space="preserve">In PM4/29 and PM4/30 it is not mentioned, although Chondrostereum purpureum can cause symptoms in these Prunus spp.</w:t>
      </w:r>
      <w:r>
        <w:rPr>
          <w:color w:val="0200C9"/>
          <w:sz w:val="24"/>
          <w:szCs w:val="24"/>
        </w:rPr>
        <w:br/>
        <w:t xml:space="preserve">It is mentioned in PM4/31 hazelnut: Adequate control of pests should be ensured, in particular Mikomyia coryli, Cryptosporiopsis coryli, Chondrostereum purpureum, Nectria galligena, Phyllactinia guttata. Indicating it is already present in the environment.</w:t>
      </w:r>
      <w:r>
        <w:rPr>
          <w:color w:val="0200C9"/>
          <w:sz w:val="24"/>
          <w:szCs w:val="24"/>
        </w:rPr>
        <w:br/>
        <w:t xml:space="preserve">It is mentioned in e.g. PM2/18(1) guidelines on good plant protection practice: pome fruits.</w:t>
      </w:r>
      <w:r>
        <w:rPr>
          <w:color w:val="0200C9"/>
          <w:sz w:val="24"/>
          <w:szCs w:val="24"/>
        </w:rPr>
        <w:br/>
        <w:t xml:space="preserve">“Various other fungi, causing relatively unimportant cankers of apple and pear… or silver leaf disease (Chondrostereum purpureum), can be treated in the same 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There are no reports on impact on Juglans regia. From herbaria in USA and Canada Chondrostereum purpureum was not often collected from Juglandaceae (1-3%) compared to Betulaceae (45%) and Salicaceae (20%) (Setliff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orchard situations the fungus can be controlled through good cultural practices e.g. by cleaning up any dead wood which might be infected before pruning and decontaminate the pruning tools.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on Juglans regia. Plant for planting is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Sharma S, Nayak RK &amp; Singh J. insect pests and Diseases of temperate Fruits and their Management.</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Chondrostereum purpureum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color w:val="F30000"/>
          <w:sz w:val="24"/>
          <w:szCs w:val="24"/>
        </w:rPr>
        <w:br/>
        <w:t xml:space="preserve">[In responses to the questionnaire, NL commented that the pest was 'airborne and widespread in nature'.]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Silver leaf (Condrostereum purpureum) is a minor disease of apple and pear. It is more common on old trees, particularly trees that have been topworked several times or those with large pruning wounds made to remove scaffold limbs, that on young vigorous trees (Fujita, 1990; Biggs, 2017)</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Biggs AR (2017) Silver leaf. In Compendium of Apple and Pear Diseases 2st edition (eds Sutton TB, Aldwinckle HS, Agnello AM &amp; Walgenbach JF). American Phytopathological Society, St Paul, MN, USA. pp 59-62.</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45596a3fba9a19023"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Fujita K (1990) Silver leaf. In Compendium of Apple and Pear Diseases 1st edition (ed Jones AL &amp; Aldwinckle HS). American Phytopathological Society, St Paul, MN, USA. pages 42-43.</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Spiers AG, Brewster DT, Bus VG &amp; Hopcroft DH (1998). Seasonal variation in susceptibility of xylem tissue of Malus, Pyrus, Prunus, and Salix species to Chondrostereum purpureum in New Zealand. Mycological Research 102(7), 881-890.</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Chondrostereum purpureum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color w:val="F30000"/>
          <w:sz w:val="24"/>
          <w:szCs w:val="24"/>
        </w:rPr>
        <w:br/>
        <w:t xml:space="preserve">[In responses to the questionnaire, NL commented that the pest was 'airborne and widespread in nature'.]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Silver leaf (Condrostereum purpureum) is a minor disease of apple and pear. It is more common on old trees, particularly trees that have been topworked several times or those with large pruning wounds made to remove scaffold limbs, that on young vigorous trees (Fujita, 1990; Biggs, 2017)</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Biggs AR (2017) Silver leaf. In Compendium of Apple and Pear Diseases 2st edition (eds Sutton TB, Aldwinckle HS, Agnello AM &amp; Walgenbach JF). American Phytopathological Society, St Paul, MN, USA. pp 59-62.</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14286a3fba9a1979c"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Fujita K (1990) Silver leaf. In Compendium of Apple and Pear Diseases 1st edition (ed Jones AL &amp; Aldwinckle HS). American Phytopathological Society, St Paul, MN, USA. pages 42-43.</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Spiers AG, Brewster DT, Bus VG &amp; Hopcroft DH (1998) Seasonal variation in susceptibility of xylem tissue of Malus, Pyrus, Prunus, and Salix species to Chondrostereum purpureum in New Zealand. Mycological Research 102(7), 881-890.</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724733">
    <w:multiLevelType w:val="hybridMultilevel"/>
    <w:lvl w:ilvl="0" w:tplc="54462135">
      <w:start w:val="1"/>
      <w:numFmt w:val="decimal"/>
      <w:lvlText w:val="%1."/>
      <w:lvlJc w:val="left"/>
      <w:pPr>
        <w:ind w:left="720" w:hanging="360"/>
      </w:pPr>
    </w:lvl>
    <w:lvl w:ilvl="1" w:tplc="54462135" w:tentative="1">
      <w:start w:val="1"/>
      <w:numFmt w:val="lowerLetter"/>
      <w:lvlText w:val="%2."/>
      <w:lvlJc w:val="left"/>
      <w:pPr>
        <w:ind w:left="1440" w:hanging="360"/>
      </w:pPr>
    </w:lvl>
    <w:lvl w:ilvl="2" w:tplc="54462135" w:tentative="1">
      <w:start w:val="1"/>
      <w:numFmt w:val="lowerRoman"/>
      <w:lvlText w:val="%3."/>
      <w:lvlJc w:val="right"/>
      <w:pPr>
        <w:ind w:left="2160" w:hanging="180"/>
      </w:pPr>
    </w:lvl>
    <w:lvl w:ilvl="3" w:tplc="54462135" w:tentative="1">
      <w:start w:val="1"/>
      <w:numFmt w:val="decimal"/>
      <w:lvlText w:val="%4."/>
      <w:lvlJc w:val="left"/>
      <w:pPr>
        <w:ind w:left="2880" w:hanging="360"/>
      </w:pPr>
    </w:lvl>
    <w:lvl w:ilvl="4" w:tplc="54462135" w:tentative="1">
      <w:start w:val="1"/>
      <w:numFmt w:val="lowerLetter"/>
      <w:lvlText w:val="%5."/>
      <w:lvlJc w:val="left"/>
      <w:pPr>
        <w:ind w:left="3600" w:hanging="360"/>
      </w:pPr>
    </w:lvl>
    <w:lvl w:ilvl="5" w:tplc="54462135" w:tentative="1">
      <w:start w:val="1"/>
      <w:numFmt w:val="lowerRoman"/>
      <w:lvlText w:val="%6."/>
      <w:lvlJc w:val="right"/>
      <w:pPr>
        <w:ind w:left="4320" w:hanging="180"/>
      </w:pPr>
    </w:lvl>
    <w:lvl w:ilvl="6" w:tplc="54462135" w:tentative="1">
      <w:start w:val="1"/>
      <w:numFmt w:val="decimal"/>
      <w:lvlText w:val="%7."/>
      <w:lvlJc w:val="left"/>
      <w:pPr>
        <w:ind w:left="5040" w:hanging="360"/>
      </w:pPr>
    </w:lvl>
    <w:lvl w:ilvl="7" w:tplc="54462135" w:tentative="1">
      <w:start w:val="1"/>
      <w:numFmt w:val="lowerLetter"/>
      <w:lvlText w:val="%8."/>
      <w:lvlJc w:val="left"/>
      <w:pPr>
        <w:ind w:left="5760" w:hanging="360"/>
      </w:pPr>
    </w:lvl>
    <w:lvl w:ilvl="8" w:tplc="54462135" w:tentative="1">
      <w:start w:val="1"/>
      <w:numFmt w:val="lowerRoman"/>
      <w:lvlText w:val="%9."/>
      <w:lvlJc w:val="right"/>
      <w:pPr>
        <w:ind w:left="6480" w:hanging="180"/>
      </w:pPr>
    </w:lvl>
  </w:abstractNum>
  <w:abstractNum w:abstractNumId="89724732">
    <w:multiLevelType w:val="hybridMultilevel"/>
    <w:lvl w:ilvl="0" w:tplc="265874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724732">
    <w:abstractNumId w:val="89724732"/>
  </w:num>
  <w:num w:numId="89724733">
    <w:abstractNumId w:val="897247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7708119" Type="http://schemas.microsoft.com/office/2011/relationships/commentsExtended" Target="commentsExtended.xml"/><Relationship Id="rId30586a3fba9a18462" Type="http://schemas.openxmlformats.org/officeDocument/2006/relationships/hyperlink" Target="https://doi.org/10.3897/BDJ.3.e5848" TargetMode="External"/><Relationship Id="rId45596a3fba9a19023" Type="http://schemas.openxmlformats.org/officeDocument/2006/relationships/hyperlink" Target="https://doi.org/10.3897/BDJ.3.e5848" TargetMode="External"/><Relationship Id="rId14286a3fba9a1979c" Type="http://schemas.openxmlformats.org/officeDocument/2006/relationships/hyperlink" Target="https://doi.org/10.3897/BDJ.3.e584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