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as done during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justification for a difference in threshold was available between Brassica napus, Helianthus annus, Brassica rapa and Sinapis alba.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threshold was not changed during RNQP Project 1. EU regulation includes a threshold at 10 sclerotia or fragments of sclerotia in a sample of the weight specified in column 4 of Annex III, for basic and certified seeds for Brassica napus and Helianthus annus, and 5 for Brassica rapa and Sinapis alba. Weight specified in column 4 of Annex III are 1000g for Helianthus annuus, 100g for Brassica napus, 70g for Brassica rapa and 200g for Sinapis alba. According to ISTA (2024) , ‘each sample size is derived from a nominal thousand-seed weight for each species which, on the available evidence, is expected to be adequate for the majority of samples tested’. ‘The working sample weights for purity analyses are calculated to contain at least 2500 seeds’.</w:t>
      </w:r>
      <w:r>
        <w:rPr>
          <w:color w:val="0200C9"/>
          <w:sz w:val="24"/>
          <w:szCs w:val="24"/>
        </w:rPr>
        <w:br/>
        <w:br/>
        <w:t xml:space="preserve">Cleaning seeds for oil seed rape is easier than for sunflower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Only give a threshold, as currently in EU regulation 2019/2072.</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disease seems less damageable than it was 20 years ago.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33526a3fbaaf45d4c"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24526a3fbaaf45d95"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65126a3fbaaf45dc3" w:history="1">
        <w:r>
          <w:rPr>
            <w:color w:val="0200C9"/>
            <w:sz w:val="24"/>
            <w:szCs w:val="24"/>
          </w:rPr>
          <w:t xml:space="preserve">https://www.cabdirect.org/cabdirect/abstract/20153195553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90106">
    <w:multiLevelType w:val="hybridMultilevel"/>
    <w:lvl w:ilvl="0" w:tplc="69792695">
      <w:start w:val="1"/>
      <w:numFmt w:val="decimal"/>
      <w:lvlText w:val="%1."/>
      <w:lvlJc w:val="left"/>
      <w:pPr>
        <w:ind w:left="720" w:hanging="360"/>
      </w:pPr>
    </w:lvl>
    <w:lvl w:ilvl="1" w:tplc="69792695" w:tentative="1">
      <w:start w:val="1"/>
      <w:numFmt w:val="lowerLetter"/>
      <w:lvlText w:val="%2."/>
      <w:lvlJc w:val="left"/>
      <w:pPr>
        <w:ind w:left="1440" w:hanging="360"/>
      </w:pPr>
    </w:lvl>
    <w:lvl w:ilvl="2" w:tplc="69792695" w:tentative="1">
      <w:start w:val="1"/>
      <w:numFmt w:val="lowerRoman"/>
      <w:lvlText w:val="%3."/>
      <w:lvlJc w:val="right"/>
      <w:pPr>
        <w:ind w:left="2160" w:hanging="180"/>
      </w:pPr>
    </w:lvl>
    <w:lvl w:ilvl="3" w:tplc="69792695" w:tentative="1">
      <w:start w:val="1"/>
      <w:numFmt w:val="decimal"/>
      <w:lvlText w:val="%4."/>
      <w:lvlJc w:val="left"/>
      <w:pPr>
        <w:ind w:left="2880" w:hanging="360"/>
      </w:pPr>
    </w:lvl>
    <w:lvl w:ilvl="4" w:tplc="69792695" w:tentative="1">
      <w:start w:val="1"/>
      <w:numFmt w:val="lowerLetter"/>
      <w:lvlText w:val="%5."/>
      <w:lvlJc w:val="left"/>
      <w:pPr>
        <w:ind w:left="3600" w:hanging="360"/>
      </w:pPr>
    </w:lvl>
    <w:lvl w:ilvl="5" w:tplc="69792695" w:tentative="1">
      <w:start w:val="1"/>
      <w:numFmt w:val="lowerRoman"/>
      <w:lvlText w:val="%6."/>
      <w:lvlJc w:val="right"/>
      <w:pPr>
        <w:ind w:left="4320" w:hanging="180"/>
      </w:pPr>
    </w:lvl>
    <w:lvl w:ilvl="6" w:tplc="69792695" w:tentative="1">
      <w:start w:val="1"/>
      <w:numFmt w:val="decimal"/>
      <w:lvlText w:val="%7."/>
      <w:lvlJc w:val="left"/>
      <w:pPr>
        <w:ind w:left="5040" w:hanging="360"/>
      </w:pPr>
    </w:lvl>
    <w:lvl w:ilvl="7" w:tplc="69792695" w:tentative="1">
      <w:start w:val="1"/>
      <w:numFmt w:val="lowerLetter"/>
      <w:lvlText w:val="%8."/>
      <w:lvlJc w:val="left"/>
      <w:pPr>
        <w:ind w:left="5760" w:hanging="360"/>
      </w:pPr>
    </w:lvl>
    <w:lvl w:ilvl="8" w:tplc="69792695" w:tentative="1">
      <w:start w:val="1"/>
      <w:numFmt w:val="lowerRoman"/>
      <w:lvlText w:val="%9."/>
      <w:lvlJc w:val="right"/>
      <w:pPr>
        <w:ind w:left="6480" w:hanging="180"/>
      </w:pPr>
    </w:lvl>
  </w:abstractNum>
  <w:abstractNum w:abstractNumId="77390105">
    <w:multiLevelType w:val="hybridMultilevel"/>
    <w:lvl w:ilvl="0" w:tplc="93151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90105">
    <w:abstractNumId w:val="77390105"/>
  </w:num>
  <w:num w:numId="77390106">
    <w:abstractNumId w:val="773901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541796" Type="http://schemas.microsoft.com/office/2011/relationships/commentsExtended" Target="commentsExtended.xml"/><Relationship Id="rId33526a3fbaaf45d4c" Type="http://schemas.openxmlformats.org/officeDocument/2006/relationships/hyperlink" Target="http://www.cabi.org/isc/abstract/20066500971" TargetMode="External"/><Relationship Id="rId24526a3fbaaf45d95" Type="http://schemas.openxmlformats.org/officeDocument/2006/relationships/hyperlink" Target="http://www.grainsa.co.za/sclerotinia-head-rot-of-sunflower-in-the-spotlight-2" TargetMode="External"/><Relationship Id="rId65126a3fbaaf45dc3" Type="http://schemas.openxmlformats.org/officeDocument/2006/relationships/hyperlink" Target="https://www.cabdirect.org/cabdirect/abstract/201531955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