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Dematophora necatrix {Rosellinia necatrix} (ROSLNE)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Molecular detection methods exist for its detection from infected roots.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Dematophora necatrix is reported in: Austria, Bulgaria, Germany, Greece, Hungary, Romania (Plantwise Knowledge bank, 2021) and also in the Netherlands (Arnolds et al., 1995), France (Guillaumin et al., 1982), Portugal (Teixeira de Sousa, 1995), Spain (1998), Italy (2016).</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 mentioned in PM4/27(1) Malus (1999). Although the first report of Dematophora necatrix causing problems in apple orchards was in the 1980’s in Italy (Pasini et al., 2016) and France (Guillaumin et al., 1982), it was not considered necessary to add this pathogen to PM4/27 in 1999.</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 Plant: yes (intermediate important)</w:t>
      </w:r>
      <w:r>
        <w:rPr>
          <w:color w:val="0200C9"/>
          <w:sz w:val="24"/>
          <w:szCs w:val="24"/>
        </w:rPr>
        <w:br/>
        <w:t xml:space="preserve">• Soil: yes (most important)</w:t>
      </w:r>
      <w:r>
        <w:rPr>
          <w:color w:val="0200C9"/>
          <w:sz w:val="24"/>
          <w:szCs w:val="24"/>
        </w:rPr>
        <w:br/>
        <w:t xml:space="preserve">• Spores: yes (low importance)</w:t>
      </w:r>
      <w:r>
        <w:rPr>
          <w:color w:val="0200C9"/>
          <w:sz w:val="24"/>
          <w:szCs w:val="24"/>
        </w:rPr>
        <w:br/>
        <w:t xml:space="preserve">The soilborne fungus Rosellinia necatrix is the causal agent of white root rot disease on numerous plant species, including apple. Although the fungus can travel long distances with plant material, plant material is not expected to be the sole source of inoculum. The heterogeneity within the fungus at one location suggests multiple preexisting sources of infection and not movement of infected soil or plant material from a single source (Pasini et al., 2016; Danfy-Yelin et al. 2018). Due to the ability of the fungus to live as a saprophyte, it can survive in soil for long periods on woody debris (Pasini et al., 2016). To avoid infection, one should avoid planting orchards on the sites of former plantations of the main susceptible hosts such as apples, cherries, poplars and tea bushes; limiting irrigation and organic fertilization; and removing stumps and roots as completely as possible, for instance by subsoiling (Plantwise Knowledge Bank, 2021).</w:t>
      </w:r>
      <w:r>
        <w:rPr>
          <w:color w:val="0200C9"/>
          <w:sz w:val="24"/>
          <w:szCs w:val="24"/>
        </w:rPr>
        <w:br/>
        <w:t xml:space="preserve">In responses to the questionnaire, BE indicated that 'this pathogen is more common in areas with an oceanic climate or a Mediterranean climate, but in the context of climate change, an expansion of its range towards the north is expected'.</w:t>
      </w:r>
      <w:r>
        <w:rPr>
          <w:color w:val="0200C9"/>
          <w:sz w:val="24"/>
          <w:szCs w:val="24"/>
        </w:rPr>
        <w:br/>
        <w:t xml:space="preserve">In comparison with Armillaria, the Fruit SEWG considered that this pest was more aggressive, making plants for planting being a significant pathway: it frequently attacks and kills very young orchard plants, often during the first year after planting. The fungus is frequent in nurseries, and contamination of orchards from nurseries is probably a common occurrence (CABI, 2021). The use of healthy planting material from nursery plants is crucial to prevent infection: the means to obtain such material include the use of aerated and dry substrates treated with steam or fungicides (EnviroChange, 2012).</w:t>
      </w:r>
      <w:r>
        <w:rPr>
          <w:color w:val="0200C9"/>
          <w:sz w:val="24"/>
          <w:szCs w:val="24"/>
        </w:rPr>
        <w:br/>
        <w:t xml:space="preserve">The Fruit SEWG commented that good practices in open-ground nursery would be to establish the nursery on virgin soil and rotate, what should allow to produce healthy material.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Malus is reported to be susceptible to the fungus (Plantwise Knowledge Bank, 2021).</w:t>
      </w:r>
      <w:r>
        <w:rPr>
          <w:color w:val="0200C9"/>
          <w:sz w:val="24"/>
          <w:szCs w:val="24"/>
        </w:rPr>
        <w:br/>
        <w:t xml:space="preserve">Agarwala and Sharma (1966) estimated losses caused by R. necatrix in apple (Malus sp.) in the state of Himachal Pradesh, India, to be at least $272,000 in 1963 (Conversion based on Officer, 2002). This conservative estimate converts to about $1.6 million dollars present time (Conversion CPI, Williamson, 2002; cited from Ten Hoopen &amp; Krauss, 2006).</w:t>
      </w:r>
      <w:r>
        <w:rPr>
          <w:color w:val="0200C9"/>
          <w:sz w:val="24"/>
          <w:szCs w:val="24"/>
        </w:rPr>
        <w:br/>
        <w:t xml:space="preserve">In 1997, an Australian study reported that the white root rot was the most soilborne disease of apple in Queensland (Mouton, 2023). The author found that more than half of the orchards were affected, with estimated annual losses of approximately AUD 1 million for the industry.</w:t>
      </w:r>
      <w:r>
        <w:rPr>
          <w:color w:val="0200C9"/>
          <w:sz w:val="24"/>
          <w:szCs w:val="24"/>
        </w:rPr>
        <w:br/>
        <w:t xml:space="preserve">It is reported as an increasing problem in apple orchards, in particular in Northern Italy (Trentino, Friuli Venezia Giulia) where soil contamination in orchards is revealed by the presence of large spots of weak or dead plants showing important drought-like symptoms (EnviroChange, 2012). The Fruit SEWG noted that when applying good practices, an orchard should not be replanted in the 4-5 years after another orchard: this would greatly limit the risk. A nursery is generally established on virgin soil. However, because of urbanization, this is not always feasible.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Young plant may die from infection (Plantwise Knowledge Bank, 2021), which is considered unacceptable. As good nursery practices should already prevent such infections, the Fruit SEWG questioned whether regulation would provide any real additional benefit.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w:t>
      </w:r>
      <w:r>
        <w:rPr>
          <w:color w:val="0200C9"/>
          <w:sz w:val="24"/>
          <w:szCs w:val="24"/>
        </w:rPr>
        <w:br/>
        <w:t xml:space="preserve">Testing the initial stock, visual examination for other categories.</w:t>
      </w:r>
      <w:r>
        <w:rPr>
          <w:color w:val="0200C9"/>
          <w:sz w:val="24"/>
          <w:szCs w:val="24"/>
        </w:rPr>
        <w:br/>
        <w:t xml:space="preserve">Use virgin soil when establishing a nursery.</w:t>
      </w:r>
      <w:r>
        <w:rPr>
          <w:color w:val="0200C9"/>
          <w:sz w:val="24"/>
          <w:szCs w:val="24"/>
        </w:rPr>
        <w:br/>
        <w:t xml:space="preserve">Use of substrates as growth media treated with steam or fungicides.</w:t>
      </w:r>
      <w:r>
        <w:rPr>
          <w:color w:val="0200C9"/>
          <w:sz w:val="24"/>
          <w:szCs w:val="24"/>
        </w:rPr>
        <w:br/>
        <w:t xml:space="preserve">Use of Trichoderma atroviride as a biocontrol agent against R. necatrix reduced white root rot incidence on apple seedlings only if treatment was applied at least 1 week before planting (Pasini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following measures were recommended for non-certified material (‘CAC’):</w:t>
      </w:r>
      <w:r>
        <w:rPr>
          <w:color w:val="0200C9"/>
          <w:sz w:val="24"/>
          <w:szCs w:val="24"/>
        </w:rPr>
        <w:br/>
        <w:t xml:space="preserve">(A) Plants for planting have been produced in a pest free production site</w:t>
      </w:r>
      <w:r>
        <w:rPr>
          <w:color w:val="0200C9"/>
          <w:sz w:val="24"/>
          <w:szCs w:val="24"/>
        </w:rPr>
        <w:br/>
        <w:t xml:space="preserve">remark: good production practices consisting of rotating nursery fields and using virgin soils should allow such a pest free production site to be established. The pest free production site is based on visual examination and/or testing.</w:t>
      </w:r>
      <w:r>
        <w:rPr>
          <w:color w:val="0200C9"/>
          <w:sz w:val="24"/>
          <w:szCs w:val="24"/>
        </w:rPr>
        <w:br/>
        <w:t xml:space="preserve">(B) In case of a finding, plants for planting from the production site can only be marketed after delimitation of the infestation based on further visual examination (confirmed by testing in case of doubt) and cultivation practices (e.g. irrigation and organic fertilization). All the plants in the delimited area should be uprooted and destroyed.</w:t>
      </w:r>
      <w:r>
        <w:rPr>
          <w:color w:val="0200C9"/>
          <w:sz w:val="24"/>
          <w:szCs w:val="24"/>
        </w:rPr>
        <w:br/>
        <w:br/>
        <w:t xml:space="preserve">Pre-basic, basic and certified material, additional measures to be considered include:</w:t>
      </w:r>
      <w:r>
        <w:rPr>
          <w:color w:val="0200C9"/>
          <w:sz w:val="24"/>
          <w:szCs w:val="24"/>
        </w:rPr>
        <w:br/>
        <w:t xml:space="preserve">• Use of sterilized soil or soil testing.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did not recommend soil testing. The pest can survive on wood debris. When destroying plants, particular attention should paid not to spread the fungus. The delimited zone should not be re-used for a couple of growing seasons, but no exact timing can be recommended.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Agarwala, R.K., Sharma, V.C., 1966. White root-rot disease of apple in Himachal Pradesh. Indian Phytopathology 29, 82–86.</w:t>
      </w:r>
    </w:p>
    <w:p>
      <w:pPr>
        <w:numPr>
          <w:ilvl w:val="0"/>
          <w:numId w:val="1"/>
        </w:numPr>
        <w:spacing w:before="0" w:after="0" w:line="240" w:lineRule="auto"/>
        <w:jc w:val="left"/>
        <w:rPr>
          <w:color w:val="0200C9"/>
          <w:sz w:val="24"/>
          <w:szCs w:val="24"/>
        </w:rPr>
      </w:pPr>
      <w:r>
        <w:rPr>
          <w:color w:val="0200C9"/>
          <w:sz w:val="24"/>
          <w:szCs w:val="24"/>
        </w:rPr>
        <w:t xml:space="preserve">Arnolds E, Kuyper TW &amp; Noordeloos ME (1995). Overzicht van de paddestoelen in Nederland. 871 pp. NMV, Wijster. (Fungi)</w:t>
      </w:r>
    </w:p>
    <w:p>
      <w:pPr>
        <w:numPr>
          <w:ilvl w:val="0"/>
          <w:numId w:val="1"/>
        </w:numPr>
        <w:spacing w:before="0" w:after="0" w:line="240" w:lineRule="auto"/>
        <w:jc w:val="left"/>
        <w:rPr>
          <w:color w:val="0200C9"/>
          <w:sz w:val="24"/>
          <w:szCs w:val="24"/>
        </w:rPr>
      </w:pPr>
      <w:r>
        <w:rPr>
          <w:color w:val="0200C9"/>
          <w:sz w:val="24"/>
          <w:szCs w:val="24"/>
        </w:rPr>
        <w:t xml:space="preserve">Dafny-Yelin M., Mairesse O, Moy J, Dor S &amp; Malkinson D (2018). Genetic diversity and infection sources of Rosellinia necatrix in northern Israel. Phytopathologia Mediterranae 57(1), 37-47. DOI: </w:t>
      </w:r>
      <w:hyperlink r:id="rId38976a7b2677a95db" w:history="1">
        <w:r>
          <w:rPr>
            <w:color w:val="0200C9"/>
            <w:sz w:val="24"/>
            <w:szCs w:val="24"/>
          </w:rPr>
          <w:t xml:space="preserve">https://doi.org/10.14601/Phytopathol_Mediterr-22478</w:t>
        </w:r>
      </w:hyperlink>
    </w:p>
    <w:p>
      <w:pPr>
        <w:numPr>
          <w:ilvl w:val="0"/>
          <w:numId w:val="1"/>
        </w:numPr>
        <w:spacing w:before="0" w:after="0" w:line="240" w:lineRule="auto"/>
        <w:jc w:val="left"/>
        <w:rPr>
          <w:color w:val="0200C9"/>
          <w:sz w:val="24"/>
          <w:szCs w:val="24"/>
        </w:rPr>
      </w:pPr>
      <w:r>
        <w:rPr>
          <w:color w:val="0200C9"/>
          <w:sz w:val="24"/>
          <w:szCs w:val="24"/>
        </w:rPr>
        <w:t xml:space="preserve">EnviroChange (2012) Rosellinia necatrix: an increasing problem in apple orchards. www.envirochange.eu.</w:t>
      </w:r>
    </w:p>
    <w:p>
      <w:pPr>
        <w:numPr>
          <w:ilvl w:val="0"/>
          <w:numId w:val="1"/>
        </w:numPr>
        <w:spacing w:before="0" w:after="0" w:line="240" w:lineRule="auto"/>
        <w:jc w:val="left"/>
        <w:rPr>
          <w:color w:val="0200C9"/>
          <w:sz w:val="24"/>
          <w:szCs w:val="24"/>
        </w:rPr>
      </w:pPr>
      <w:r>
        <w:rPr>
          <w:color w:val="0200C9"/>
          <w:sz w:val="24"/>
          <w:szCs w:val="24"/>
        </w:rPr>
        <w:t xml:space="preserve">Guillaumin JJ, Mercier S &amp; Dubos B (1982). Les pourridiés à Armillariella et Rosellinia en France sur vigne, arbres fruitiers et cultures florales I. Etiologie et symptomatologie. Agronomie 2, 71-80.</w:t>
      </w:r>
    </w:p>
    <w:p>
      <w:pPr>
        <w:numPr>
          <w:ilvl w:val="0"/>
          <w:numId w:val="1"/>
        </w:numPr>
        <w:spacing w:before="0" w:after="0" w:line="240" w:lineRule="auto"/>
        <w:jc w:val="left"/>
        <w:rPr>
          <w:color w:val="0200C9"/>
          <w:sz w:val="24"/>
          <w:szCs w:val="24"/>
        </w:rPr>
      </w:pPr>
      <w:r>
        <w:rPr>
          <w:color w:val="0200C9"/>
          <w:sz w:val="24"/>
          <w:szCs w:val="24"/>
        </w:rPr>
        <w:t xml:space="preserve">López-Herrera CJ, Pérez-Jiménez RM, Zea-Bonilla T, Basallote-Ureba MJ &amp; Melero-Vara JM (1998). Soil solarization in established avocado trees for control of Dematophora necatrix. Plant Disease 82, 1088-1092.</w:t>
      </w:r>
    </w:p>
    <w:p>
      <w:pPr>
        <w:numPr>
          <w:ilvl w:val="0"/>
          <w:numId w:val="1"/>
        </w:numPr>
        <w:spacing w:before="0" w:after="0" w:line="240" w:lineRule="auto"/>
        <w:jc w:val="left"/>
        <w:rPr>
          <w:color w:val="0200C9"/>
          <w:sz w:val="24"/>
          <w:szCs w:val="24"/>
        </w:rPr>
      </w:pPr>
      <w:r>
        <w:rPr>
          <w:color w:val="0200C9"/>
          <w:sz w:val="24"/>
          <w:szCs w:val="24"/>
        </w:rPr>
        <w:t xml:space="preserve">Mouton A (2023) White root rot caused by Rosellinia necatrix afflicts everything from apples to avocadoes. HORTGRO internet site. Fresh Quarterly. Consulted on 2024-08-21. Available at </w:t>
      </w:r>
      <w:hyperlink r:id="rId97056a7b2677a9630" w:history="1">
        <w:r>
          <w:rPr>
            <w:color w:val="0200C9"/>
            <w:sz w:val="24"/>
            <w:szCs w:val="24"/>
          </w:rPr>
          <w:t xml:space="preserve">https://www.freshquarterly.co.za/rosellinia-necatrix/</w:t>
        </w:r>
      </w:hyperlink>
    </w:p>
    <w:p>
      <w:pPr>
        <w:numPr>
          <w:ilvl w:val="0"/>
          <w:numId w:val="1"/>
        </w:numPr>
        <w:spacing w:before="0" w:after="0" w:line="240" w:lineRule="auto"/>
        <w:jc w:val="left"/>
        <w:rPr>
          <w:color w:val="0200C9"/>
          <w:sz w:val="24"/>
          <w:szCs w:val="24"/>
        </w:rPr>
      </w:pPr>
      <w:r>
        <w:rPr>
          <w:color w:val="0200C9"/>
          <w:sz w:val="24"/>
          <w:szCs w:val="24"/>
        </w:rPr>
        <w:t xml:space="preserve">Pasini L, Prodorutti D, Pastorelli S, Pertot I (2016). Genetic diversity and biocontrol of Rosellinia necatrix infecting apple in Northern Italy. Plant Disease 100, 444-452. doi: 10.1094/PDIS-04-15-0480-RE. Epub 2015 Dec 19. PMID: 30694124.</w:t>
      </w:r>
    </w:p>
    <w:p>
      <w:pPr>
        <w:numPr>
          <w:ilvl w:val="0"/>
          <w:numId w:val="1"/>
        </w:numPr>
        <w:spacing w:before="0" w:after="0" w:line="240" w:lineRule="auto"/>
        <w:jc w:val="left"/>
        <w:rPr>
          <w:color w:val="0200C9"/>
          <w:sz w:val="24"/>
          <w:szCs w:val="24"/>
        </w:rPr>
      </w:pPr>
      <w:r>
        <w:rPr>
          <w:color w:val="0200C9"/>
          <w:sz w:val="24"/>
          <w:szCs w:val="24"/>
        </w:rPr>
        <w:t xml:space="preserve">Plantwise Knowledge Bank (2021). Rosellinia necatrix (dematophora root rot). (accessed 21/Mar/2024). </w:t>
      </w:r>
      <w:hyperlink r:id="rId41336a7b2677a9660" w:history="1">
        <w:r>
          <w:rPr>
            <w:color w:val="0200C9"/>
            <w:sz w:val="24"/>
            <w:szCs w:val="24"/>
          </w:rPr>
          <w:t xml:space="preserve">https://plantwiseplusknowledgebank.org/doi/full/10.1079/pwkb.species.47860</w:t>
        </w:r>
      </w:hyperlink>
    </w:p>
    <w:p>
      <w:pPr>
        <w:numPr>
          <w:ilvl w:val="0"/>
          <w:numId w:val="1"/>
        </w:numPr>
        <w:spacing w:before="0" w:after="0" w:line="240" w:lineRule="auto"/>
        <w:jc w:val="left"/>
        <w:rPr>
          <w:color w:val="0200C9"/>
          <w:sz w:val="24"/>
          <w:szCs w:val="24"/>
        </w:rPr>
      </w:pPr>
      <w:r>
        <w:rPr>
          <w:color w:val="0200C9"/>
          <w:sz w:val="24"/>
          <w:szCs w:val="24"/>
        </w:rPr>
        <w:t xml:space="preserve">Teixeira de Sousa AJ, Guillaumin JJ, Sharples GP, Whalley AJS (1995). Rosellinia necatrix and white root rot of fruit trees and other plants in Portugal and nearby regions. Mycologist 9, 31-33.</w:t>
      </w:r>
    </w:p>
    <w:p>
      <w:pPr>
        <w:numPr>
          <w:ilvl w:val="0"/>
          <w:numId w:val="1"/>
        </w:numPr>
        <w:spacing w:before="0" w:after="0" w:line="240" w:lineRule="auto"/>
        <w:jc w:val="left"/>
        <w:rPr>
          <w:color w:val="0200C9"/>
          <w:sz w:val="24"/>
          <w:szCs w:val="24"/>
        </w:rPr>
      </w:pPr>
      <w:r>
        <w:rPr>
          <w:color w:val="0200C9"/>
          <w:sz w:val="24"/>
          <w:szCs w:val="24"/>
        </w:rPr>
        <w:t xml:space="preserve">Ten Hoopen M &amp; Krauss U (2005). Biology and control of Rosellinia bunodes, Rosellinia necatrix and Rosellinia pepo: A review. Crop Protection 25 (2), 89-107. </w:t>
      </w:r>
      <w:hyperlink r:id="rId36326a7b2677a968d" w:history="1">
        <w:r>
          <w:rPr>
            <w:color w:val="0200C9"/>
            <w:sz w:val="24"/>
            <w:szCs w:val="24"/>
          </w:rPr>
          <w:t xml:space="preserve">https://doi.org/10.1016/j.cropro.2005.03.009</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Pistacia vera (PIAVE)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No PM4 for Pistacia. Not mentioned in PM4/27(1) Malus (1999); although the first report of Dematophora necatrix causing problems in apple orchards was in the 1980’s in Italy (Pasini et al., 2016) and France (Guillaumin et al., 1982), it was not considered necessary to add this pathogen to PM4/27 in 1999.</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 Plant: yes (intermediate important)</w:t>
      </w:r>
      <w:r>
        <w:rPr>
          <w:color w:val="0200C9"/>
          <w:sz w:val="24"/>
          <w:szCs w:val="24"/>
        </w:rPr>
        <w:br/>
        <w:t xml:space="preserve">• Soil: yes (most important)</w:t>
      </w:r>
      <w:r>
        <w:rPr>
          <w:color w:val="0200C9"/>
          <w:sz w:val="24"/>
          <w:szCs w:val="24"/>
        </w:rPr>
        <w:br/>
        <w:t xml:space="preserve">• Spores: yes (low importance)</w:t>
      </w:r>
      <w:r>
        <w:rPr>
          <w:color w:val="0200C9"/>
          <w:sz w:val="24"/>
          <w:szCs w:val="24"/>
        </w:rPr>
        <w:br/>
        <w:t xml:space="preserve">The soilborne fungus D. necatrix is the causal agent of white root rot disease on numerous plant species. Pistacia is reported as a host plant (Schena et al., 2002). Although the fungus can travel long distances with plant material, plant material is not expected to be the sole source of inoculum. The heterogeneity within the fungus at one location suggests multiple preexisting sources of infection and not movement of infected soil or plant material from a single source (Pasini et al., 2016; Danfy-Yelin et al. 2018). Due to the ability of the fungus to live as a saprophyte, it can survive in soil for long periods on woody debris (Pasini et al., 2016).</w:t>
      </w:r>
      <w:r>
        <w:rPr>
          <w:color w:val="0200C9"/>
          <w:sz w:val="24"/>
          <w:szCs w:val="24"/>
        </w:rPr>
        <w:br/>
        <w:t xml:space="preserve">However, the fungus is frequent in nurseries, and contamination of orchards from nurseries is probably a common occurrence (CABI, 2021).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Dematophora necatrix is a limiting factor for avocado and apple crops in Israel and southern Spain, where its incidence has progressively increased to the point at which it is was considered to be the most important cause of endemic avocado root rot (López‐Herrera, 1998). it was one the main factors that limited poplar growing in the first decades of this century and then, after a period of stasis, in the second half of the 1980s. Considerable attacks on poplar have been described during the latest years in Portugal and southern Africa, as well as in India, where it is mostly observed in the nursery. It is reported as an increasing problem in apple orchards in Northern Italy.</w:t>
      </w:r>
      <w:r>
        <w:rPr>
          <w:color w:val="F30000"/>
          <w:sz w:val="24"/>
          <w:szCs w:val="24"/>
        </w:rPr>
        <w:br/>
        <w:t xml:space="preserve">No documented reports of economic impact could be found on Pistacia. The fungus is polyphagous. In Europe, there is no particular evidence of growing Pistacia and Malus together, as a source of unacceptable indirect economic impact to Malus.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w:t>
      </w:r>
      <w:r>
        <w:rPr>
          <w:color w:val="0200C9"/>
          <w:sz w:val="24"/>
          <w:szCs w:val="24"/>
        </w:rPr>
        <w:br/>
        <w:t xml:space="preserve">Testing the initial stock, visual examination for other categories.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acceptable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Agarwala, R.K., Sharma, V.C., 1966. White root-rot disease of apple in Himachal Pradesh. Indian Phytopathology 29, 82–86.</w:t>
      </w:r>
    </w:p>
    <w:p>
      <w:pPr>
        <w:numPr>
          <w:ilvl w:val="0"/>
          <w:numId w:val="1"/>
        </w:numPr>
        <w:spacing w:before="0" w:after="0" w:line="240" w:lineRule="auto"/>
        <w:jc w:val="left"/>
        <w:rPr>
          <w:color w:val="0200C9"/>
          <w:sz w:val="24"/>
          <w:szCs w:val="24"/>
        </w:rPr>
      </w:pPr>
      <w:r>
        <w:rPr>
          <w:color w:val="0200C9"/>
          <w:sz w:val="24"/>
          <w:szCs w:val="24"/>
        </w:rPr>
        <w:t xml:space="preserve">Arnolds E, Kuyper TW &amp; Noordeloos ME (1995). Overzicht van de paddestoelen in Nederland. 871 pp. NMV, Wijster. (Fungi)</w:t>
      </w:r>
    </w:p>
    <w:p>
      <w:pPr>
        <w:numPr>
          <w:ilvl w:val="0"/>
          <w:numId w:val="1"/>
        </w:numPr>
        <w:spacing w:before="0" w:after="0" w:line="240" w:lineRule="auto"/>
        <w:jc w:val="left"/>
        <w:rPr>
          <w:color w:val="0200C9"/>
          <w:sz w:val="24"/>
          <w:szCs w:val="24"/>
        </w:rPr>
      </w:pPr>
      <w:r>
        <w:rPr>
          <w:color w:val="0200C9"/>
          <w:sz w:val="24"/>
          <w:szCs w:val="24"/>
        </w:rPr>
        <w:t xml:space="preserve">CABI (2021) CABI Datasheet: Rosellinia necatrix (dematophora root rot). CABI Compendium. </w:t>
      </w:r>
      <w:hyperlink r:id="rId47376a7b2677a99f7" w:history="1">
        <w:r>
          <w:rPr>
            <w:color w:val="0200C9"/>
            <w:sz w:val="24"/>
            <w:szCs w:val="24"/>
          </w:rPr>
          <w:t xml:space="preserve">https://www.cabidigitallibrary.org/doi/10.1079/cabicompendium.47860</w:t>
        </w:r>
      </w:hyperlink>
    </w:p>
    <w:p>
      <w:pPr>
        <w:numPr>
          <w:ilvl w:val="0"/>
          <w:numId w:val="1"/>
        </w:numPr>
        <w:spacing w:before="0" w:after="0" w:line="240" w:lineRule="auto"/>
        <w:jc w:val="left"/>
        <w:rPr>
          <w:color w:val="0200C9"/>
          <w:sz w:val="24"/>
          <w:szCs w:val="24"/>
        </w:rPr>
      </w:pPr>
      <w:r>
        <w:rPr>
          <w:color w:val="0200C9"/>
          <w:sz w:val="24"/>
          <w:szCs w:val="24"/>
        </w:rPr>
        <w:t xml:space="preserve">Dafny-Yelin M., Mairesse O, Moy J, Dor S &amp; Malkinson D (2018). Genetic diversity and infection sources of Rosellinia necatrix in northern Israel. Phytopathologia Mediterranae 57(1), 37-47. DOI: </w:t>
      </w:r>
      <w:hyperlink r:id="rId28116a7b2677a9a12" w:history="1">
        <w:r>
          <w:rPr>
            <w:color w:val="0200C9"/>
            <w:sz w:val="24"/>
            <w:szCs w:val="24"/>
          </w:rPr>
          <w:t xml:space="preserve">https://doi.org/10.14601/Phytopathol_Mediterr-22478</w:t>
        </w:r>
      </w:hyperlink>
    </w:p>
    <w:p>
      <w:pPr>
        <w:numPr>
          <w:ilvl w:val="0"/>
          <w:numId w:val="1"/>
        </w:numPr>
        <w:spacing w:before="0" w:after="0" w:line="240" w:lineRule="auto"/>
        <w:jc w:val="left"/>
        <w:rPr>
          <w:color w:val="0200C9"/>
          <w:sz w:val="24"/>
          <w:szCs w:val="24"/>
        </w:rPr>
      </w:pPr>
      <w:r>
        <w:rPr>
          <w:color w:val="0200C9"/>
          <w:sz w:val="24"/>
          <w:szCs w:val="24"/>
        </w:rPr>
        <w:t xml:space="preserve">FAO (1999) Review of fungal diseases in poplar. Available from </w:t>
      </w:r>
      <w:hyperlink r:id="rId84356a7b2677a9a2b" w:history="1">
        <w:r>
          <w:rPr>
            <w:color w:val="0200C9"/>
            <w:sz w:val="24"/>
            <w:szCs w:val="24"/>
          </w:rPr>
          <w:t xml:space="preserve">https://www.fao.org/4/ac492e/AC492E03.htm</w:t>
        </w:r>
      </w:hyperlink>
    </w:p>
    <w:p>
      <w:pPr>
        <w:numPr>
          <w:ilvl w:val="0"/>
          <w:numId w:val="1"/>
        </w:numPr>
        <w:spacing w:before="0" w:after="0" w:line="240" w:lineRule="auto"/>
        <w:jc w:val="left"/>
        <w:rPr>
          <w:color w:val="0200C9"/>
          <w:sz w:val="24"/>
          <w:szCs w:val="24"/>
        </w:rPr>
      </w:pPr>
      <w:r>
        <w:rPr>
          <w:color w:val="0200C9"/>
          <w:sz w:val="24"/>
          <w:szCs w:val="24"/>
        </w:rPr>
        <w:t xml:space="preserve">Guillaumin JJ, Mercier S &amp; Dubos B (1982). Les pourridiés à Armillariella et Rosellinia en France sur vigne, arbres fruitiers et cultures florales I. Etiologie et symptomatologie. Agronomie 2, 71-80.</w:t>
      </w:r>
    </w:p>
    <w:p>
      <w:pPr>
        <w:numPr>
          <w:ilvl w:val="0"/>
          <w:numId w:val="1"/>
        </w:numPr>
        <w:spacing w:before="0" w:after="0" w:line="240" w:lineRule="auto"/>
        <w:jc w:val="left"/>
        <w:rPr>
          <w:color w:val="0200C9"/>
          <w:sz w:val="24"/>
          <w:szCs w:val="24"/>
        </w:rPr>
      </w:pPr>
      <w:r>
        <w:rPr>
          <w:color w:val="0200C9"/>
          <w:sz w:val="24"/>
          <w:szCs w:val="24"/>
        </w:rPr>
        <w:t xml:space="preserve">López-Herrera CJ, Pérez-Jiménez RM, Zea-Bonilla T, Basallote-Ureba MJ &amp; Melero-Vara JM (1998). Soil solarization in established avocado trees for control of Dematophora necatrix. Plant Disease 82, 1088-1092.</w:t>
      </w:r>
    </w:p>
    <w:p>
      <w:pPr>
        <w:numPr>
          <w:ilvl w:val="0"/>
          <w:numId w:val="1"/>
        </w:numPr>
        <w:spacing w:before="0" w:after="0" w:line="240" w:lineRule="auto"/>
        <w:jc w:val="left"/>
        <w:rPr>
          <w:color w:val="0200C9"/>
          <w:sz w:val="24"/>
          <w:szCs w:val="24"/>
        </w:rPr>
      </w:pPr>
      <w:r>
        <w:rPr>
          <w:color w:val="0200C9"/>
          <w:sz w:val="24"/>
          <w:szCs w:val="24"/>
        </w:rPr>
        <w:t xml:space="preserve">Pasini L, Prodorutti D, Pastorelli S, Pertot I (2016). Genetic diversity and biocontrol of Rosellinia necatrix infecting apple in Northern Italy. Plant Disease 100, 444-452. doi: 10.1094/PDIS-04-15-0480-RE. Epub 2015 Dec 19. PMID: 30694124.</w:t>
      </w:r>
    </w:p>
    <w:p>
      <w:pPr>
        <w:numPr>
          <w:ilvl w:val="0"/>
          <w:numId w:val="1"/>
        </w:numPr>
        <w:spacing w:before="0" w:after="0" w:line="240" w:lineRule="auto"/>
        <w:jc w:val="left"/>
        <w:rPr>
          <w:color w:val="0200C9"/>
          <w:sz w:val="24"/>
          <w:szCs w:val="24"/>
        </w:rPr>
      </w:pPr>
      <w:r>
        <w:rPr>
          <w:color w:val="0200C9"/>
          <w:sz w:val="24"/>
          <w:szCs w:val="24"/>
        </w:rPr>
        <w:t xml:space="preserve">Plantwise Knowledge Bank (2021). Rosellinia necatrix (dematophora root rot). (accessed 21/Mar/2024). </w:t>
      </w:r>
      <w:hyperlink r:id="rId33976a7b2677a9a74" w:history="1">
        <w:r>
          <w:rPr>
            <w:color w:val="0200C9"/>
            <w:sz w:val="24"/>
            <w:szCs w:val="24"/>
          </w:rPr>
          <w:t xml:space="preserve">https://plantwiseplusknowledgebank.org/doi/full/10.1079/pwkb.species.47860</w:t>
        </w:r>
      </w:hyperlink>
    </w:p>
    <w:p>
      <w:pPr>
        <w:numPr>
          <w:ilvl w:val="0"/>
          <w:numId w:val="1"/>
        </w:numPr>
        <w:spacing w:before="0" w:after="0" w:line="240" w:lineRule="auto"/>
        <w:jc w:val="left"/>
        <w:rPr>
          <w:color w:val="0200C9"/>
          <w:sz w:val="24"/>
          <w:szCs w:val="24"/>
        </w:rPr>
      </w:pPr>
      <w:r>
        <w:rPr>
          <w:color w:val="0200C9"/>
          <w:sz w:val="24"/>
          <w:szCs w:val="24"/>
        </w:rPr>
        <w:t xml:space="preserve">Schena L, Nigro F &amp; Ippolito A (2002) Identification and detection of Rosellinia necatrix by conventional and real-time Scorpion-PCR. European Journal of Plant Pathology 108: 355–366, 2002</w:t>
      </w:r>
    </w:p>
    <w:p>
      <w:pPr>
        <w:numPr>
          <w:ilvl w:val="0"/>
          <w:numId w:val="1"/>
        </w:numPr>
        <w:spacing w:before="0" w:after="0" w:line="240" w:lineRule="auto"/>
        <w:jc w:val="left"/>
        <w:rPr>
          <w:color w:val="0200C9"/>
          <w:sz w:val="24"/>
          <w:szCs w:val="24"/>
        </w:rPr>
      </w:pPr>
      <w:r>
        <w:rPr>
          <w:color w:val="0200C9"/>
          <w:sz w:val="24"/>
          <w:szCs w:val="24"/>
        </w:rPr>
        <w:t xml:space="preserve">Teixeira de Sousa AJ, Guillaumin JJ, Sharples GP, Whalley AJS (1995). Rosellinia necatrix and white root rot of fruit trees and other plants in Portugal and nearby regions. Mycologist 9, 31-33.</w:t>
      </w:r>
    </w:p>
    <w:p>
      <w:pPr>
        <w:numPr>
          <w:ilvl w:val="0"/>
          <w:numId w:val="1"/>
        </w:numPr>
        <w:spacing w:before="0" w:after="0" w:line="240" w:lineRule="auto"/>
        <w:jc w:val="left"/>
        <w:rPr>
          <w:color w:val="0200C9"/>
          <w:sz w:val="24"/>
          <w:szCs w:val="24"/>
        </w:rPr>
      </w:pPr>
      <w:r>
        <w:rPr>
          <w:color w:val="0200C9"/>
          <w:sz w:val="24"/>
          <w:szCs w:val="24"/>
        </w:rPr>
        <w:t xml:space="preserve">Ten Hoopen M &amp; Krauss U (2005). Biology and control of Rosellinia bunodes, Rosellinia necatrix and Rosellinia pepo: A review. Crop Protection 25 (2), 89-107. </w:t>
      </w:r>
      <w:hyperlink r:id="rId46936a7b2677a9aac" w:history="1">
        <w:r>
          <w:rPr>
            <w:color w:val="0200C9"/>
            <w:sz w:val="24"/>
            <w:szCs w:val="24"/>
          </w:rPr>
          <w:t xml:space="preserve">https://doi.org/10.1016/j.cropro.2005.03.009</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513405">
    <w:multiLevelType w:val="hybridMultilevel"/>
    <w:lvl w:ilvl="0" w:tplc="94381967">
      <w:start w:val="1"/>
      <w:numFmt w:val="decimal"/>
      <w:lvlText w:val="%1."/>
      <w:lvlJc w:val="left"/>
      <w:pPr>
        <w:ind w:left="720" w:hanging="360"/>
      </w:pPr>
    </w:lvl>
    <w:lvl w:ilvl="1" w:tplc="94381967" w:tentative="1">
      <w:start w:val="1"/>
      <w:numFmt w:val="lowerLetter"/>
      <w:lvlText w:val="%2."/>
      <w:lvlJc w:val="left"/>
      <w:pPr>
        <w:ind w:left="1440" w:hanging="360"/>
      </w:pPr>
    </w:lvl>
    <w:lvl w:ilvl="2" w:tplc="94381967" w:tentative="1">
      <w:start w:val="1"/>
      <w:numFmt w:val="lowerRoman"/>
      <w:lvlText w:val="%3."/>
      <w:lvlJc w:val="right"/>
      <w:pPr>
        <w:ind w:left="2160" w:hanging="180"/>
      </w:pPr>
    </w:lvl>
    <w:lvl w:ilvl="3" w:tplc="94381967" w:tentative="1">
      <w:start w:val="1"/>
      <w:numFmt w:val="decimal"/>
      <w:lvlText w:val="%4."/>
      <w:lvlJc w:val="left"/>
      <w:pPr>
        <w:ind w:left="2880" w:hanging="360"/>
      </w:pPr>
    </w:lvl>
    <w:lvl w:ilvl="4" w:tplc="94381967" w:tentative="1">
      <w:start w:val="1"/>
      <w:numFmt w:val="lowerLetter"/>
      <w:lvlText w:val="%5."/>
      <w:lvlJc w:val="left"/>
      <w:pPr>
        <w:ind w:left="3600" w:hanging="360"/>
      </w:pPr>
    </w:lvl>
    <w:lvl w:ilvl="5" w:tplc="94381967" w:tentative="1">
      <w:start w:val="1"/>
      <w:numFmt w:val="lowerRoman"/>
      <w:lvlText w:val="%6."/>
      <w:lvlJc w:val="right"/>
      <w:pPr>
        <w:ind w:left="4320" w:hanging="180"/>
      </w:pPr>
    </w:lvl>
    <w:lvl w:ilvl="6" w:tplc="94381967" w:tentative="1">
      <w:start w:val="1"/>
      <w:numFmt w:val="decimal"/>
      <w:lvlText w:val="%7."/>
      <w:lvlJc w:val="left"/>
      <w:pPr>
        <w:ind w:left="5040" w:hanging="360"/>
      </w:pPr>
    </w:lvl>
    <w:lvl w:ilvl="7" w:tplc="94381967" w:tentative="1">
      <w:start w:val="1"/>
      <w:numFmt w:val="lowerLetter"/>
      <w:lvlText w:val="%8."/>
      <w:lvlJc w:val="left"/>
      <w:pPr>
        <w:ind w:left="5760" w:hanging="360"/>
      </w:pPr>
    </w:lvl>
    <w:lvl w:ilvl="8" w:tplc="94381967" w:tentative="1">
      <w:start w:val="1"/>
      <w:numFmt w:val="lowerRoman"/>
      <w:lvlText w:val="%9."/>
      <w:lvlJc w:val="right"/>
      <w:pPr>
        <w:ind w:left="6480" w:hanging="180"/>
      </w:pPr>
    </w:lvl>
  </w:abstractNum>
  <w:abstractNum w:abstractNumId="47513404">
    <w:multiLevelType w:val="hybridMultilevel"/>
    <w:lvl w:ilvl="0" w:tplc="410840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513404">
    <w:abstractNumId w:val="47513404"/>
  </w:num>
  <w:num w:numId="47513405">
    <w:abstractNumId w:val="4751340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9758069" Type="http://schemas.microsoft.com/office/2011/relationships/commentsExtended" Target="commentsExtended.xml"/><Relationship Id="rId38976a7b2677a95db" Type="http://schemas.openxmlformats.org/officeDocument/2006/relationships/hyperlink" Target="https://doi.org/10.14601/Phytopathol_Mediterr-22478" TargetMode="External"/><Relationship Id="rId97056a7b2677a9630" Type="http://schemas.openxmlformats.org/officeDocument/2006/relationships/hyperlink" Target="https://www.freshquarterly.co.za/rosellinia-necatrix/" TargetMode="External"/><Relationship Id="rId41336a7b2677a9660" Type="http://schemas.openxmlformats.org/officeDocument/2006/relationships/hyperlink" Target="https://plantwiseplusknowledgebank.org/doi/full/10.1079/pwkb.species.47860" TargetMode="External"/><Relationship Id="rId36326a7b2677a968d" Type="http://schemas.openxmlformats.org/officeDocument/2006/relationships/hyperlink" Target="https://doi.org/10.1016/j.cropro.2005.03.009" TargetMode="External"/><Relationship Id="rId47376a7b2677a99f7" Type="http://schemas.openxmlformats.org/officeDocument/2006/relationships/hyperlink" Target="https://www.cabidigitallibrary.org/doi/10.1079/cabicompendium.47860" TargetMode="External"/><Relationship Id="rId28116a7b2677a9a12" Type="http://schemas.openxmlformats.org/officeDocument/2006/relationships/hyperlink" Target="https://doi.org/10.14601/Phytopathol_Mediterr-22478" TargetMode="External"/><Relationship Id="rId84356a7b2677a9a2b" Type="http://schemas.openxmlformats.org/officeDocument/2006/relationships/hyperlink" Target="https://www.fao.org/4/ac492e/AC492E03.htm" TargetMode="External"/><Relationship Id="rId33976a7b2677a9a74" Type="http://schemas.openxmlformats.org/officeDocument/2006/relationships/hyperlink" Target="https://plantwiseplusknowledgebank.org/doi/full/10.1079/pwkb.species.47860" TargetMode="External"/><Relationship Id="rId46936a7b2677a9aac" Type="http://schemas.openxmlformats.org/officeDocument/2006/relationships/hyperlink" Target="https://doi.org/10.1016/j.cropro.2005.03.00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