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Rosellinia necatrix is the causal agent of white root rot disease on numerous plant species, including apple.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 To avoid infection, one should avoid planting orchards on the sites of former plantations of the main susceptible hosts such as apples, cherries, poplars and tea bushes; limiting irrigation and organic fertilization; and removing stumps and roots as completely as possible, for instance by subsoiling (Plantwise Knowledge Bank, 2021).</w:t>
      </w:r>
      <w:r>
        <w:rPr>
          <w:color w:val="0200C9"/>
          <w:sz w:val="24"/>
          <w:szCs w:val="24"/>
        </w:rPr>
        <w:br/>
        <w:t xml:space="preserve">In responses to the questionnaire, BE indicated that 'this pathogen is more common in areas with an oceanic climate or a Mediterranean climate, but in the context of climate change, an expansion of its range towards the north is expected'.</w:t>
      </w:r>
      <w:r>
        <w:rPr>
          <w:color w:val="0200C9"/>
          <w:sz w:val="24"/>
          <w:szCs w:val="24"/>
        </w:rPr>
        <w:br/>
        <w:t xml:space="preserve">In comparison with Armillaria, the Fruit SEWG considered that this pest was more aggressive, making plants for planting being a significant pathway: it frequently attacks and kills very young orchard plants, often during the first year after planting. The fungus is frequent in nurseries, and contamination of orchards from nurseries is probably a common occurrence (CABI, 2021). The use of healthy planting material from nursery plants is crucial to prevent infection: the means to obtain such material include the use of aerated and dry substrates treated with steam or fungicides (EnviroChange, 2012).</w:t>
      </w:r>
      <w:r>
        <w:rPr>
          <w:color w:val="0200C9"/>
          <w:sz w:val="24"/>
          <w:szCs w:val="24"/>
        </w:rPr>
        <w:br/>
        <w:t xml:space="preserve">The Fruit SEWG commented that good practices in open-ground nursery would be to establish the nursery on virgin soil and rotate, what should allow to produce healthy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Malus is reported to be susceptible to the fungus (Plantwise Knowledge Bank, 2021).</w:t>
      </w:r>
      <w:r>
        <w:rPr>
          <w:color w:val="0200C9"/>
          <w:sz w:val="24"/>
          <w:szCs w:val="24"/>
        </w:rPr>
        <w:br/>
        <w:t xml:space="preserve">Agarwala and Sharma (1966) estimated losses caused by R. necatrix in apple (Malus sp.) in the state of Himachal Pradesh, India, to be at least $272,000 in 1963 (Conversion based on Officer, 2002). This conservative estimate converts to about $1.6 million dollars present time (Conversion CPI, Williamson, 2002; cited from Ten Hoopen &amp; Krauss, 2006).</w:t>
      </w:r>
      <w:r>
        <w:rPr>
          <w:color w:val="0200C9"/>
          <w:sz w:val="24"/>
          <w:szCs w:val="24"/>
        </w:rPr>
        <w:br/>
        <w:t xml:space="preserve">In 1997, an Australian study reported that the white root rot was the most soilborne disease of apple in Queensland (Mouton, 2023). The author found that more than half of the orchards were affected, with estimated annual losses of approximately AUD 1 million for the industry.</w:t>
      </w:r>
      <w:r>
        <w:rPr>
          <w:color w:val="0200C9"/>
          <w:sz w:val="24"/>
          <w:szCs w:val="24"/>
        </w:rPr>
        <w:br/>
        <w:t xml:space="preserve">It is reported as an increasing problem in apple orchards, in particular in Northern Italy (Trentino, Friuli Venezia Giulia) where soil contamination in orchards is revealed by the presence of large spots of weak or dead plants showing important drought-like symptoms (EnviroChange, 2012). The Fruit SEWG noted that when applying good practices, an orchard should not be replanted in the 4-5 years after another orchard: this would greatly limit the risk. A nursery is generally established on virgin soil. However, because of urbanization, this is not always feasible.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Young plant may die from infection (Plantwise Knowledge Bank, 2021), which is considered unacceptable. As good nursery practices should already prevent such infections, the Fruit SEWG questioned whether regulation would provide any real additional benefit.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color w:val="0200C9"/>
          <w:sz w:val="24"/>
          <w:szCs w:val="24"/>
        </w:rPr>
        <w:br/>
        <w:t xml:space="preserve">Use virgin soil when establishing a nursery.</w:t>
      </w:r>
      <w:r>
        <w:rPr>
          <w:color w:val="0200C9"/>
          <w:sz w:val="24"/>
          <w:szCs w:val="24"/>
        </w:rPr>
        <w:br/>
        <w:t xml:space="preserve">Use of substrates as growth media treated with steam or fungicides.</w:t>
      </w:r>
      <w:r>
        <w:rPr>
          <w:color w:val="0200C9"/>
          <w:sz w:val="24"/>
          <w:szCs w:val="24"/>
        </w:rPr>
        <w:br/>
        <w:t xml:space="preserve">Use of Trichoderma atroviride as a biocontrol agent against R. necatrix reduced white root rot incidence on apple seedlings only if treatment was applied at least 1 week before planting (Pasini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measures were recommended for non-certified material (‘CAC’):</w:t>
      </w:r>
      <w:r>
        <w:rPr>
          <w:color w:val="0200C9"/>
          <w:sz w:val="24"/>
          <w:szCs w:val="24"/>
        </w:rPr>
        <w:br/>
        <w:t xml:space="preserve">(A) Plants for planting have been produced in a pest free production site</w:t>
      </w:r>
      <w:r>
        <w:rPr>
          <w:color w:val="0200C9"/>
          <w:sz w:val="24"/>
          <w:szCs w:val="24"/>
        </w:rPr>
        <w:br/>
        <w:t xml:space="preserve">remark: good production practices consisting of rotating nursery fields and using virgin soils should allow such a pest free production site to be established. The pest free production site is based on visual examination and/or testing.</w:t>
      </w:r>
      <w:r>
        <w:rPr>
          <w:color w:val="0200C9"/>
          <w:sz w:val="24"/>
          <w:szCs w:val="24"/>
        </w:rPr>
        <w:br/>
        <w:t xml:space="preserve">(B) In case of a finding, plants for planting from the production site can only be marketed after delimitation of the infestation based on further visual examination (confirmed by testing in case of doubt) and cultivation practices (e.g. irrigation and organic fertilization). All the plants in the delimited area should be uprooted and destroyed.</w:t>
      </w:r>
      <w:r>
        <w:rPr>
          <w:color w:val="0200C9"/>
          <w:sz w:val="24"/>
          <w:szCs w:val="24"/>
        </w:rPr>
        <w:br/>
        <w:br/>
        <w:t xml:space="preserve">Pre-basic, basic and certified material, additional measures to be considered include:</w:t>
      </w:r>
      <w:r>
        <w:rPr>
          <w:color w:val="0200C9"/>
          <w:sz w:val="24"/>
          <w:szCs w:val="24"/>
        </w:rPr>
        <w:br/>
        <w:t xml:space="preserve">• Use of sterilized soil or soil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did not recommend soil testing. The pest can survive on wood debris. When destroying plants, particular attention should paid not to spread the fungus. The delimited zone should not be re-used for a couple of growing seasons, but no exact timing can be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31016a042519ce21b"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EnviroChange (2012) Rosellinia necatrix: an increasing problem in apple orchards. www.envirochange.eu.</w:t>
      </w:r>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Mouton A (2023) White root rot caused by Rosellinia necatrix afflicts everything from apples to avocadoes. HORTGRO internet site. Fresh Quarterly. Consulted on 2024-08-21. Available at </w:t>
      </w:r>
      <w:hyperlink r:id="rId68176a042519ce271" w:history="1">
        <w:r>
          <w:rPr>
            <w:color w:val="0200C9"/>
            <w:sz w:val="24"/>
            <w:szCs w:val="24"/>
          </w:rPr>
          <w:t xml:space="preserve">https://www.freshquarterly.co.za/rosellinia-necatrix/</w:t>
        </w:r>
      </w:hyperlink>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68496a042519ce2a0"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46876a042519ce2d4" w:history="1">
        <w:r>
          <w:rPr>
            <w:color w:val="0200C9"/>
            <w:sz w:val="24"/>
            <w:szCs w:val="24"/>
          </w:rPr>
          <w:t xml:space="preserve">https://doi.org/10.1016/j.cropro.2005.03.009</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Pistacia. 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D. necatrix is the causal agent of white root rot disease on numerous plant species. Pistacia is reported as a host plant (Schena et al., 2002).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w:t>
      </w:r>
      <w:r>
        <w:rPr>
          <w:color w:val="0200C9"/>
          <w:sz w:val="24"/>
          <w:szCs w:val="24"/>
        </w:rPr>
        <w:br/>
        <w:t xml:space="preserve">However, the fungus is frequent in nurseries, and contamination of orchards from nurseries is probably a common occurrence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Dematophora necatrix is a limiting factor for avocado and apple crops in Israel and southern Spain, where its incidence has progressively increased to the point at which it is was considered to be the most important cause of endemic avocado root rot (López‐Herrera, 1998). it was one the main factors that limited poplar growing in the first decades of this century and then, after a period of stasis, in the second half of the 1980s. Considerable attacks on poplar have been described during the latest years in Portugal and southern Africa, as well as in India, where it is mostly observed in the nursery. It is reported as an increasing problem in apple orchards in Northern Italy.</w:t>
      </w:r>
      <w:r>
        <w:rPr>
          <w:color w:val="F30000"/>
          <w:sz w:val="24"/>
          <w:szCs w:val="24"/>
        </w:rPr>
        <w:br/>
        <w:t xml:space="preserve">No documented reports of economic impact could be found on Pistacia. The fungus is polyphagous. In Europe, there is no particular evidence of growing Pistacia and Malus together, as a source of unacceptable indirect economic impact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CABI (2021) CABI Datasheet: Rosellinia necatrix (dematophora root rot). CABI Compendium. </w:t>
      </w:r>
      <w:hyperlink r:id="rId37326a042519ce7fa" w:history="1">
        <w:r>
          <w:rPr>
            <w:color w:val="0200C9"/>
            <w:sz w:val="24"/>
            <w:szCs w:val="24"/>
          </w:rPr>
          <w:t xml:space="preserve">https://www.cabidigitallibrary.org/doi/10.1079/cabicompendium.47860</w:t>
        </w:r>
      </w:hyperlink>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40196a042519ce818"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FAO (1999) Review of fungal diseases in poplar. Available from </w:t>
      </w:r>
      <w:hyperlink r:id="rId79966a042519ce832" w:history="1">
        <w:r>
          <w:rPr>
            <w:color w:val="0200C9"/>
            <w:sz w:val="24"/>
            <w:szCs w:val="24"/>
          </w:rPr>
          <w:t xml:space="preserve">https://www.fao.org/4/ac492e/AC492E03.htm</w:t>
        </w:r>
      </w:hyperlink>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77446a042519ce87b"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Schena L, Nigro F &amp; Ippolito A (2002) Identification and detection of Rosellinia necatrix by conventional and real-time Scorpion-PCR. European Journal of Plant Pathology 108: 355–366, 2002</w:t>
      </w:r>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20686a042519ce8b4"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04367">
    <w:multiLevelType w:val="hybridMultilevel"/>
    <w:lvl w:ilvl="0" w:tplc="63854876">
      <w:start w:val="1"/>
      <w:numFmt w:val="decimal"/>
      <w:lvlText w:val="%1."/>
      <w:lvlJc w:val="left"/>
      <w:pPr>
        <w:ind w:left="720" w:hanging="360"/>
      </w:pPr>
    </w:lvl>
    <w:lvl w:ilvl="1" w:tplc="63854876" w:tentative="1">
      <w:start w:val="1"/>
      <w:numFmt w:val="lowerLetter"/>
      <w:lvlText w:val="%2."/>
      <w:lvlJc w:val="left"/>
      <w:pPr>
        <w:ind w:left="1440" w:hanging="360"/>
      </w:pPr>
    </w:lvl>
    <w:lvl w:ilvl="2" w:tplc="63854876" w:tentative="1">
      <w:start w:val="1"/>
      <w:numFmt w:val="lowerRoman"/>
      <w:lvlText w:val="%3."/>
      <w:lvlJc w:val="right"/>
      <w:pPr>
        <w:ind w:left="2160" w:hanging="180"/>
      </w:pPr>
    </w:lvl>
    <w:lvl w:ilvl="3" w:tplc="63854876" w:tentative="1">
      <w:start w:val="1"/>
      <w:numFmt w:val="decimal"/>
      <w:lvlText w:val="%4."/>
      <w:lvlJc w:val="left"/>
      <w:pPr>
        <w:ind w:left="2880" w:hanging="360"/>
      </w:pPr>
    </w:lvl>
    <w:lvl w:ilvl="4" w:tplc="63854876" w:tentative="1">
      <w:start w:val="1"/>
      <w:numFmt w:val="lowerLetter"/>
      <w:lvlText w:val="%5."/>
      <w:lvlJc w:val="left"/>
      <w:pPr>
        <w:ind w:left="3600" w:hanging="360"/>
      </w:pPr>
    </w:lvl>
    <w:lvl w:ilvl="5" w:tplc="63854876" w:tentative="1">
      <w:start w:val="1"/>
      <w:numFmt w:val="lowerRoman"/>
      <w:lvlText w:val="%6."/>
      <w:lvlJc w:val="right"/>
      <w:pPr>
        <w:ind w:left="4320" w:hanging="180"/>
      </w:pPr>
    </w:lvl>
    <w:lvl w:ilvl="6" w:tplc="63854876" w:tentative="1">
      <w:start w:val="1"/>
      <w:numFmt w:val="decimal"/>
      <w:lvlText w:val="%7."/>
      <w:lvlJc w:val="left"/>
      <w:pPr>
        <w:ind w:left="5040" w:hanging="360"/>
      </w:pPr>
    </w:lvl>
    <w:lvl w:ilvl="7" w:tplc="63854876" w:tentative="1">
      <w:start w:val="1"/>
      <w:numFmt w:val="lowerLetter"/>
      <w:lvlText w:val="%8."/>
      <w:lvlJc w:val="left"/>
      <w:pPr>
        <w:ind w:left="5760" w:hanging="360"/>
      </w:pPr>
    </w:lvl>
    <w:lvl w:ilvl="8" w:tplc="63854876" w:tentative="1">
      <w:start w:val="1"/>
      <w:numFmt w:val="lowerRoman"/>
      <w:lvlText w:val="%9."/>
      <w:lvlJc w:val="right"/>
      <w:pPr>
        <w:ind w:left="6480" w:hanging="180"/>
      </w:pPr>
    </w:lvl>
  </w:abstractNum>
  <w:abstractNum w:abstractNumId="30904366">
    <w:multiLevelType w:val="hybridMultilevel"/>
    <w:lvl w:ilvl="0" w:tplc="98400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04366">
    <w:abstractNumId w:val="30904366"/>
  </w:num>
  <w:num w:numId="30904367">
    <w:abstractNumId w:val="30904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69169" Type="http://schemas.microsoft.com/office/2011/relationships/commentsExtended" Target="commentsExtended.xml"/><Relationship Id="rId31016a042519ce21b" Type="http://schemas.openxmlformats.org/officeDocument/2006/relationships/hyperlink" Target="https://doi.org/10.14601/Phytopathol_Mediterr-22478" TargetMode="External"/><Relationship Id="rId68176a042519ce271" Type="http://schemas.openxmlformats.org/officeDocument/2006/relationships/hyperlink" Target="https://www.freshquarterly.co.za/rosellinia-necatrix/" TargetMode="External"/><Relationship Id="rId68496a042519ce2a0" Type="http://schemas.openxmlformats.org/officeDocument/2006/relationships/hyperlink" Target="https://plantwiseplusknowledgebank.org/doi/full/10.1079/pwkb.species.47860" TargetMode="External"/><Relationship Id="rId46876a042519ce2d4" Type="http://schemas.openxmlformats.org/officeDocument/2006/relationships/hyperlink" Target="https://doi.org/10.1016/j.cropro.2005.03.009" TargetMode="External"/><Relationship Id="rId37326a042519ce7fa" Type="http://schemas.openxmlformats.org/officeDocument/2006/relationships/hyperlink" Target="https://www.cabidigitallibrary.org/doi/10.1079/cabicompendium.47860" TargetMode="External"/><Relationship Id="rId40196a042519ce818" Type="http://schemas.openxmlformats.org/officeDocument/2006/relationships/hyperlink" Target="https://doi.org/10.14601/Phytopathol_Mediterr-22478" TargetMode="External"/><Relationship Id="rId79966a042519ce832" Type="http://schemas.openxmlformats.org/officeDocument/2006/relationships/hyperlink" Target="https://www.fao.org/4/ac492e/AC492E03.htm" TargetMode="External"/><Relationship Id="rId77446a042519ce87b" Type="http://schemas.openxmlformats.org/officeDocument/2006/relationships/hyperlink" Target="https://plantwiseplusknowledgebank.org/doi/full/10.1079/pwkb.species.47860" TargetMode="External"/><Relationship Id="rId20686a042519ce8b4"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