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Pear rough bark agent (PRRB00)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Rough bark</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No</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F30000"/>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Note on taxonomy: Cropley R (1963) suggests that blister canker of pear (causal agent pear blister canker viroid) may be related to pear rough bark, an assumption later adopted by Nemeth (1986). However, Desvignes et al. (1999) report that pear cultivar Williams, which is an indicator for 'pear rough bark disease agent, does not produce symptoms after inoculation with an isolate of pear blister canker viroid (PBCVd). As a consequence, the causal agent of pear rough bark remains unclear and therefore, pear rough bark agent seems an appropriate name. Field indexing using woody indexing (Jelkmann, 2004) would be needed for detection and identification.</w:t>
      </w:r>
      <w:r>
        <w:rPr>
          <w:color w:val="F30000"/>
          <w:sz w:val="24"/>
          <w:szCs w:val="24"/>
        </w:rPr>
        <w:br/>
        <w:t xml:space="preserve">There are several old accounts in literature about bark disorders affecting pear trees, each with a different name: pear blister canker (Cropley, 1960), pear rough bark (Thomsen, 1961), pear bark split and necrosis (Kegler, 1967; Kegler et al., 1968), and pear bark measles (Cordy &amp; MacSwan, 1961). Because they were reported in different pear cultivars and because these agents remain poorly defined, it is difficult to ascertain whether they indeed correspond to different diseases (Flores et al., 2011).</w:t>
      </w:r>
      <w:r>
        <w:rPr>
          <w:color w:val="F30000"/>
          <w:sz w:val="24"/>
          <w:szCs w:val="24"/>
        </w:rPr>
        <w:br/>
        <w:t xml:space="preserve">Pear rough bark (bark split) symptoms are described as splits or furrows that form in the bark of sensitive cultivars infected with pear rough bark. Later, the bark becomes thick and rough. Symptoms are expressed only in the bark and may not appear until several years after the tree was inoculated. The yield of affected trees appears to be reduced (Cameron, 2017, based on above publications).</w:t>
      </w:r>
      <w:r>
        <w:rPr>
          <w:color w:val="F30000"/>
          <w:sz w:val="24"/>
          <w:szCs w:val="24"/>
        </w:rPr>
        <w:br/>
        <w:t xml:space="preserve">The pear rough bark transmissible disease showed pronounced splits and furrows on young shoots and older branches of several sensitive varieties in Denmark and England. For indexing ‘Williams’ or ‘Nouveau Poiteau’ were used (Kristensen, 1963 ). There is no further information on the similarity to other graft-transmissible bark diseases on pear (cited from Tzanetakis, in press).</w:t>
      </w:r>
      <w:r>
        <w:rPr>
          <w:color w:val="F30000"/>
          <w:sz w:val="24"/>
          <w:szCs w:val="24"/>
        </w:rPr>
        <w:br/>
        <w:br/>
        <w:t xml:space="preserve">Pear rough bark agent does not fulfill the requirement of identity and should therefore not be a RNQP.</w:t>
      </w:r>
      <w:r>
        <w:rPr>
          <w:color w:val="F30000"/>
          <w:sz w:val="24"/>
          <w:szCs w:val="24"/>
        </w:rPr>
        <w:br/>
        <w:t xml:space="preserve">[In the responses to the questionnaire, no country supported its recommendation for regulation as an RNQP. LT and NL supported its delisting from EU regulation.]</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Cydonia oblonga (CYDOB)</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Testing for 'rough bark' recommended in EPPO Standard PM 4-27 Pathogen-tested material of Malus, Pyrus and Cydonia, for Pyrus and Cydonia. In the preliminary excel file submitted by the European Commission, one country highlighted that the causal agents would need to be defined and that little information in available on epidemiology. It was proposed as a candidate for delisting.</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clear taxonomy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Cameron HR, revised by Eastwell KC &amp; Howell WE (2017) Pear bark disorders. In Compendiumof Apple and Pear Diseases and Pests (eds Sutton TB, Aldwinckle HS, Agnello AM &amp; Walgenbach JF). American Phytopathological Society, St Paul, MN, USA. pp 111-112.</w:t>
      </w:r>
    </w:p>
    <w:p>
      <w:pPr>
        <w:numPr>
          <w:ilvl w:val="0"/>
          <w:numId w:val="1"/>
        </w:numPr>
        <w:spacing w:before="0" w:after="0" w:line="240" w:lineRule="auto"/>
        <w:jc w:val="left"/>
        <w:rPr>
          <w:color w:val="0200C9"/>
          <w:sz w:val="24"/>
          <w:szCs w:val="24"/>
        </w:rPr>
      </w:pPr>
      <w:r>
        <w:rPr>
          <w:color w:val="0200C9"/>
          <w:sz w:val="24"/>
          <w:szCs w:val="24"/>
        </w:rPr>
        <w:t xml:space="preserve">Cropley R (1963) Blister canker of pear. In: Virus diseases of apples and pears. Technical Communication No. 30. Commonwealth Bureau of Horticulture and Plantation Crops, East Malling, Maidstone, Kent, UK (ed AF Posnette), pp 103-106.</w:t>
      </w:r>
    </w:p>
    <w:p>
      <w:pPr>
        <w:numPr>
          <w:ilvl w:val="0"/>
          <w:numId w:val="1"/>
        </w:numPr>
        <w:spacing w:before="0" w:after="0" w:line="240" w:lineRule="auto"/>
        <w:jc w:val="left"/>
        <w:rPr>
          <w:color w:val="0200C9"/>
          <w:sz w:val="24"/>
          <w:szCs w:val="24"/>
        </w:rPr>
      </w:pPr>
      <w:r>
        <w:rPr>
          <w:color w:val="0200C9"/>
          <w:sz w:val="24"/>
          <w:szCs w:val="24"/>
        </w:rPr>
        <w:t xml:space="preserve">Cordy CD &amp; MacSwan JC (1961) Some evidence that pear bark measles is seed-borne. Plant Disease Reporter 45, 891.</w:t>
      </w:r>
    </w:p>
    <w:p>
      <w:pPr>
        <w:numPr>
          <w:ilvl w:val="0"/>
          <w:numId w:val="1"/>
        </w:numPr>
        <w:spacing w:before="0" w:after="0" w:line="240" w:lineRule="auto"/>
        <w:jc w:val="left"/>
        <w:rPr>
          <w:color w:val="0200C9"/>
          <w:sz w:val="24"/>
          <w:szCs w:val="24"/>
        </w:rPr>
      </w:pPr>
      <w:r>
        <w:rPr>
          <w:color w:val="0200C9"/>
          <w:sz w:val="24"/>
          <w:szCs w:val="24"/>
        </w:rPr>
        <w:t xml:space="preserve">Cropley R (1960) Pear blister canker: a virus disease. Annual Report East Mailing Research Station for 1959 43, 104.</w:t>
      </w:r>
    </w:p>
    <w:p>
      <w:pPr>
        <w:numPr>
          <w:ilvl w:val="0"/>
          <w:numId w:val="1"/>
        </w:numPr>
        <w:spacing w:before="0" w:after="0" w:line="240" w:lineRule="auto"/>
        <w:jc w:val="left"/>
        <w:rPr>
          <w:color w:val="0200C9"/>
          <w:sz w:val="24"/>
          <w:szCs w:val="24"/>
        </w:rPr>
      </w:pPr>
      <w:r>
        <w:rPr>
          <w:color w:val="0200C9"/>
          <w:sz w:val="24"/>
          <w:szCs w:val="24"/>
        </w:rPr>
        <w:t xml:space="preserve">Desvignes JC, Cornaggia D, Grasseau N, Ambros S &amp; Flores R (1999) Pear blister canker viroid: host range and improved bioassay with two new pear indicators, Fieud 37 and Fieud 110. Plant Disease 83(5), 419-422.</w:t>
      </w:r>
    </w:p>
    <w:p>
      <w:pPr>
        <w:numPr>
          <w:ilvl w:val="0"/>
          <w:numId w:val="1"/>
        </w:numPr>
        <w:spacing w:before="0" w:after="0" w:line="240" w:lineRule="auto"/>
        <w:jc w:val="left"/>
        <w:rPr>
          <w:color w:val="0200C9"/>
          <w:sz w:val="24"/>
          <w:szCs w:val="24"/>
        </w:rPr>
      </w:pPr>
      <w:r>
        <w:rPr>
          <w:color w:val="0200C9"/>
          <w:sz w:val="24"/>
          <w:szCs w:val="24"/>
        </w:rPr>
        <w:t xml:space="preserve">Flores R, Ambrós S, Llácer G &amp; Hernández (2011) Pear blister canker viroid (Chapter 13). In Virus and Virus-Like Diseases of Pome and Stone Fruits (eds Hadidi A, Barba M, Candresse T &amp; Jelkmann W). American Phytopathological Society, St Paul, MN, USA. pp 63-66.</w:t>
      </w:r>
    </w:p>
    <w:p>
      <w:pPr>
        <w:numPr>
          <w:ilvl w:val="0"/>
          <w:numId w:val="1"/>
        </w:numPr>
        <w:spacing w:before="0" w:after="0" w:line="240" w:lineRule="auto"/>
        <w:jc w:val="left"/>
        <w:rPr>
          <w:color w:val="0200C9"/>
          <w:sz w:val="24"/>
          <w:szCs w:val="24"/>
        </w:rPr>
      </w:pPr>
      <w:r>
        <w:rPr>
          <w:color w:val="0200C9"/>
          <w:sz w:val="24"/>
          <w:szCs w:val="24"/>
        </w:rPr>
        <w:t xml:space="preserve">Jelkmann W (2004) Detection of virus and virus-like diseases of fruit trees: laboratory assays, bioassays and indicators. Acta Horticulturae 657, 575-596.</w:t>
      </w:r>
    </w:p>
    <w:p>
      <w:pPr>
        <w:numPr>
          <w:ilvl w:val="0"/>
          <w:numId w:val="1"/>
        </w:numPr>
        <w:spacing w:before="0" w:after="0" w:line="240" w:lineRule="auto"/>
        <w:jc w:val="left"/>
        <w:rPr>
          <w:color w:val="0200C9"/>
          <w:sz w:val="24"/>
          <w:szCs w:val="24"/>
        </w:rPr>
      </w:pPr>
      <w:r>
        <w:rPr>
          <w:color w:val="0200C9"/>
          <w:sz w:val="24"/>
          <w:szCs w:val="24"/>
        </w:rPr>
        <w:t xml:space="preserve">Kegler H (1967) Der Viröse Birnenverfall, die Rindenrissigkeit und die Rindennekrose. Obstbau 7, 21-23.</w:t>
      </w:r>
    </w:p>
    <w:p>
      <w:pPr>
        <w:numPr>
          <w:ilvl w:val="0"/>
          <w:numId w:val="1"/>
        </w:numPr>
        <w:spacing w:before="0" w:after="0" w:line="240" w:lineRule="auto"/>
        <w:jc w:val="left"/>
        <w:rPr>
          <w:color w:val="0200C9"/>
          <w:sz w:val="24"/>
          <w:szCs w:val="24"/>
        </w:rPr>
      </w:pPr>
      <w:r>
        <w:rPr>
          <w:color w:val="0200C9"/>
          <w:sz w:val="24"/>
          <w:szCs w:val="24"/>
        </w:rPr>
        <w:t xml:space="preserve">Kegler H, Schmidt HE &amp; Schimanski HH (1968) Der Nachweis weiterer Viruskrankheiten an Obstgehölzen in der Deutschen Demokratischen Republik. Nachrichtenblatt des Deutschen Pflanzenschutzdienst (Berlin), 22, 168-175</w:t>
      </w:r>
    </w:p>
    <w:p>
      <w:pPr>
        <w:numPr>
          <w:ilvl w:val="0"/>
          <w:numId w:val="1"/>
        </w:numPr>
        <w:spacing w:before="0" w:after="0" w:line="240" w:lineRule="auto"/>
        <w:jc w:val="left"/>
        <w:rPr>
          <w:color w:val="0200C9"/>
          <w:sz w:val="24"/>
          <w:szCs w:val="24"/>
        </w:rPr>
      </w:pPr>
      <w:r>
        <w:rPr>
          <w:color w:val="0200C9"/>
          <w:sz w:val="24"/>
          <w:szCs w:val="24"/>
        </w:rPr>
        <w:t xml:space="preserve">Nemeth M (1986) Pear blister canker. In Virus, Mycoplasma and Rickettsia Diseases. Martinus Nijhoff Publishers, Dordrecht, The Netherlands (ed Nemeth M), pp 226-228.</w:t>
      </w:r>
    </w:p>
    <w:p>
      <w:pPr>
        <w:numPr>
          <w:ilvl w:val="0"/>
          <w:numId w:val="1"/>
        </w:numPr>
        <w:spacing w:before="0" w:after="0" w:line="240" w:lineRule="auto"/>
        <w:jc w:val="left"/>
        <w:rPr>
          <w:color w:val="0200C9"/>
          <w:sz w:val="24"/>
          <w:szCs w:val="24"/>
        </w:rPr>
      </w:pPr>
      <w:r>
        <w:rPr>
          <w:color w:val="0200C9"/>
          <w:sz w:val="24"/>
          <w:szCs w:val="24"/>
        </w:rPr>
        <w:t xml:space="preserve">Ronde Kristensen H (1963) Rough bark op pear. In Virus diseases of apples and pears (ed AF Posnette). Technical Communication No. 30. Commonwealth Bureau of Horticulture and Plantation Crops, East Malling, Maidstone, Kent, UK, pp 107-108.</w:t>
      </w:r>
    </w:p>
    <w:p>
      <w:pPr>
        <w:numPr>
          <w:ilvl w:val="0"/>
          <w:numId w:val="1"/>
        </w:numPr>
        <w:spacing w:before="0" w:after="0" w:line="240" w:lineRule="auto"/>
        <w:jc w:val="left"/>
        <w:rPr>
          <w:color w:val="0200C9"/>
          <w:sz w:val="24"/>
          <w:szCs w:val="24"/>
        </w:rPr>
      </w:pPr>
      <w:r>
        <w:rPr>
          <w:color w:val="0200C9"/>
          <w:sz w:val="24"/>
          <w:szCs w:val="24"/>
        </w:rPr>
        <w:t xml:space="preserve">Thomsen A (1961) Split bark of pears (rough bark of pears). Tidsskrift for Planteavl 65, 69-72.</w:t>
      </w:r>
    </w:p>
    <w:p>
      <w:pPr>
        <w:numPr>
          <w:ilvl w:val="0"/>
          <w:numId w:val="1"/>
        </w:numPr>
        <w:spacing w:before="0" w:after="0" w:line="240" w:lineRule="auto"/>
        <w:jc w:val="left"/>
        <w:rPr>
          <w:color w:val="0200C9"/>
          <w:sz w:val="24"/>
          <w:szCs w:val="24"/>
        </w:rPr>
      </w:pPr>
      <w:r>
        <w:rPr>
          <w:color w:val="0200C9"/>
          <w:sz w:val="24"/>
          <w:szCs w:val="24"/>
        </w:rPr>
        <w:t xml:space="preserve">Tzanetakis IE, Aknadibossian V, Špak J, Constable F, Harper SJ, Hammond J, Candresse T, Folimonova SY, Freitas-Astúa J, Fuchs M, Jelkmann W, Maliogka VI, Marais A, Martin RR, Mollov D, Vidalakis G, Aboughanem-Sabanadzovic N, Al Rwahnih M, Alabi OJ, Alioto D, Atanda HY, Bagi F, Baranwal VK, Barbosa C, Bar-Joseph M, Batista Le Riverend L, Belien T, Benítez-Galeano MJ, Bennypaul H, Bertaccini A, Bester R, Blouin AG, Blystad D-R, Botermans M, Bozan O, Brakta A, Brans Y, Bulajić A, Caglayan K, Catara A, Choueiri E, Cieślińska M, Cook G, Cui W, da Graça J, Davino S, Delmiglio C, Dewdney M, Di Serio F, Diaz-Lara A, Digiaro M, Djelouah K, Donovan N. Druciarek TZ, Duran-Vila N, Elçi E, Esquivel-Fariña A, Fall ML, Figueroa J, Fiore N, Fowkes AR, Fox A, Fránová J, Fuchs R, Gaafar YZA, García ML, Ghosh D, Girardi E, Glasa M, Gomez Talquenca S, , Gratz A, Gritsenko D, Hajeri S, Hajizadeh M, Hamborg Z, Ho T, Holeva M, Holkar SK, Horner M, Hurtado-Gonzales OP, Ippolito A, Isac V, Iwanami T, Jofre-y-Garfias AE, Jordan R, Katis N, Koloniuk I, Konings H, Križanac I, Krueger R, Kyrychenko A, Laranjeira F, Lavagi-Craddock I, Levy A, Licciardello G, Lu Q-Y, MacFarlane SA, Marcone C, Maree HJ, Margaria P, Martić A, Massart S, Mathioudakis MM, Matić S, Mavric Plesko I, Meekes ETM, Mehle N, Melzer MJ, Meng B, Menzel W, Miljanić V, Minafra A, Minutolo M, Mitra A, Moreno P, Navarro L, Navarro B, Nerva L, Okić A, Olmos A, Onelge N, Osundahunsi B, Palacios MF, Pallas V, Panno S, Perez-Egusquiza Z, Poudel-Ward B, Radišek S, Ramos-González PL, Ramteke P, Ranabhat NB, Rivarez MPS, Rivas F, Roenhorst A, Roy A, Ruiz-García AB, Sabanadzovic S, Šafářová D, Saldarelli P, Salem N, Sanahuja Solsona G, Schoen R, Sharma SK, Shilts T, Sierra-Mejia A, Singh S, Skelton A, Škorić D, Stainton D, Štajner N, Starović M, Stuchi E, Svoboda P, Tahzima R, Tang J, Tessitori M, Thermoz J-P, Thompson E, Thompson J, Trebicki P, Turina M, Ulubas Serce C, Umble J, Valiunas D, Varallyay E, Varma A, Varveri C, Vasquez-Gutierrez U, Vazquez-Iglesias I, Veerakone S, Villamor DE, Vives MC, Vončina D, Wang J, Wenxing X, Westenberg M, Wetzel T, Winter S, Wright G, Wulff NA, Xu Dong F, Ya Feng D, Yokomi R, Zhou C, Zikeli K&amp; Zindović J (in press) Streamlining global germplasm exchange: Integrating scientific rigor and common sense to exclude phantom agents from regulation. Plant Disease 10.1094/PDIS-04-24-0745-FE</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Pyrus (1PYUG)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Testing for 'rough bark' recommended in EPPO Standard PM 4-27 Pathogen-tested material of Malus, Pyrus and Cydonia, for Pyrus and Cydonia. In the preliminary excel file submitted by the European Commission, one country highlighted that the causal agents would need to be defined and that little information in available on epidemiology. It was proposed as a candidate for delisting.</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clear taxonomy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Cameron HR, revised by Eastwell KC &amp; Howell WE (2017) Pear bark disorders. In Compendiumof Apple and Pear Diseases and Pests (eds Sutton TB, Aldwinckle HS, Agnello AM &amp; Walgenbach JF). American Phytopathological Society, St Paul, MN, USA. pp 111-112.</w:t>
      </w:r>
    </w:p>
    <w:p>
      <w:pPr>
        <w:numPr>
          <w:ilvl w:val="0"/>
          <w:numId w:val="1"/>
        </w:numPr>
        <w:spacing w:before="0" w:after="0" w:line="240" w:lineRule="auto"/>
        <w:jc w:val="left"/>
        <w:rPr>
          <w:color w:val="0200C9"/>
          <w:sz w:val="24"/>
          <w:szCs w:val="24"/>
        </w:rPr>
      </w:pPr>
      <w:r>
        <w:rPr>
          <w:color w:val="0200C9"/>
          <w:sz w:val="24"/>
          <w:szCs w:val="24"/>
        </w:rPr>
        <w:t xml:space="preserve">Cropley R (1963) Blister canker of pear. In: Virus diseases of apples and pears. Technical Communication No. 30. Commonwealth Bureau of Horticulture and Plantation Crops, East Malling, Maidstone, Kent, UK (ed AF Posnette), pp 103-106.</w:t>
      </w:r>
    </w:p>
    <w:p>
      <w:pPr>
        <w:numPr>
          <w:ilvl w:val="0"/>
          <w:numId w:val="1"/>
        </w:numPr>
        <w:spacing w:before="0" w:after="0" w:line="240" w:lineRule="auto"/>
        <w:jc w:val="left"/>
        <w:rPr>
          <w:color w:val="0200C9"/>
          <w:sz w:val="24"/>
          <w:szCs w:val="24"/>
        </w:rPr>
      </w:pPr>
      <w:r>
        <w:rPr>
          <w:color w:val="0200C9"/>
          <w:sz w:val="24"/>
          <w:szCs w:val="24"/>
        </w:rPr>
        <w:t xml:space="preserve">Cordy CD &amp; MacSwan JC (1961) Some evidence that pear bark measles is seed-borne. Plant Disease Reporter 45, 891.</w:t>
      </w:r>
    </w:p>
    <w:p>
      <w:pPr>
        <w:numPr>
          <w:ilvl w:val="0"/>
          <w:numId w:val="1"/>
        </w:numPr>
        <w:spacing w:before="0" w:after="0" w:line="240" w:lineRule="auto"/>
        <w:jc w:val="left"/>
        <w:rPr>
          <w:color w:val="0200C9"/>
          <w:sz w:val="24"/>
          <w:szCs w:val="24"/>
        </w:rPr>
      </w:pPr>
      <w:r>
        <w:rPr>
          <w:color w:val="0200C9"/>
          <w:sz w:val="24"/>
          <w:szCs w:val="24"/>
        </w:rPr>
        <w:t xml:space="preserve">Cropley R (1960) Pear blister canker: a virus disease. Annual Report East Mailing Research Station for 1959 43, 104.</w:t>
      </w:r>
    </w:p>
    <w:p>
      <w:pPr>
        <w:numPr>
          <w:ilvl w:val="0"/>
          <w:numId w:val="1"/>
        </w:numPr>
        <w:spacing w:before="0" w:after="0" w:line="240" w:lineRule="auto"/>
        <w:jc w:val="left"/>
        <w:rPr>
          <w:color w:val="0200C9"/>
          <w:sz w:val="24"/>
          <w:szCs w:val="24"/>
        </w:rPr>
      </w:pPr>
      <w:r>
        <w:rPr>
          <w:color w:val="0200C9"/>
          <w:sz w:val="24"/>
          <w:szCs w:val="24"/>
        </w:rPr>
        <w:t xml:space="preserve">Desvignes JC, Cornaggia D, Grasseau N, Ambros S &amp; Flores R (1999) Pear blister canker viroid: host range and improved bioassay with two new pear indicators, Fieud 37 and Fieud 110. Plant Disease 83(5), 419-422.</w:t>
      </w:r>
    </w:p>
    <w:p>
      <w:pPr>
        <w:numPr>
          <w:ilvl w:val="0"/>
          <w:numId w:val="1"/>
        </w:numPr>
        <w:spacing w:before="0" w:after="0" w:line="240" w:lineRule="auto"/>
        <w:jc w:val="left"/>
        <w:rPr>
          <w:color w:val="0200C9"/>
          <w:sz w:val="24"/>
          <w:szCs w:val="24"/>
        </w:rPr>
      </w:pPr>
      <w:r>
        <w:rPr>
          <w:color w:val="0200C9"/>
          <w:sz w:val="24"/>
          <w:szCs w:val="24"/>
        </w:rPr>
        <w:t xml:space="preserve">Flores R, Ambrós S, Llácer G &amp; Hernández (2011) Pear blister canker viroid (Chapter 13). In Virus and Virus-Like Diseases of Pome and Stone Fruits (eds Hadidi A, Barba M, Candresse T &amp; Jelkmann W). American Phytopathological Society, St Paul, MN, USA. pp 63-66.</w:t>
      </w:r>
    </w:p>
    <w:p>
      <w:pPr>
        <w:numPr>
          <w:ilvl w:val="0"/>
          <w:numId w:val="1"/>
        </w:numPr>
        <w:spacing w:before="0" w:after="0" w:line="240" w:lineRule="auto"/>
        <w:jc w:val="left"/>
        <w:rPr>
          <w:color w:val="0200C9"/>
          <w:sz w:val="24"/>
          <w:szCs w:val="24"/>
        </w:rPr>
      </w:pPr>
      <w:r>
        <w:rPr>
          <w:color w:val="0200C9"/>
          <w:sz w:val="24"/>
          <w:szCs w:val="24"/>
        </w:rPr>
        <w:t xml:space="preserve">Jelkmann W (2004) Detection of virus and virus-like diseases of fruit trees: laboratory assays, bioassays and indicators. Acta Horticulturae 657, 575-596.</w:t>
      </w:r>
    </w:p>
    <w:p>
      <w:pPr>
        <w:numPr>
          <w:ilvl w:val="0"/>
          <w:numId w:val="1"/>
        </w:numPr>
        <w:spacing w:before="0" w:after="0" w:line="240" w:lineRule="auto"/>
        <w:jc w:val="left"/>
        <w:rPr>
          <w:color w:val="0200C9"/>
          <w:sz w:val="24"/>
          <w:szCs w:val="24"/>
        </w:rPr>
      </w:pPr>
      <w:r>
        <w:rPr>
          <w:color w:val="0200C9"/>
          <w:sz w:val="24"/>
          <w:szCs w:val="24"/>
        </w:rPr>
        <w:t xml:space="preserve">Kegler H (1967) Der Viröse Birnenverfall, die Rindenrissigkeit und die Rindennekrose. Obstbau 7, 21-23.</w:t>
      </w:r>
    </w:p>
    <w:p>
      <w:pPr>
        <w:numPr>
          <w:ilvl w:val="0"/>
          <w:numId w:val="1"/>
        </w:numPr>
        <w:spacing w:before="0" w:after="0" w:line="240" w:lineRule="auto"/>
        <w:jc w:val="left"/>
        <w:rPr>
          <w:color w:val="0200C9"/>
          <w:sz w:val="24"/>
          <w:szCs w:val="24"/>
        </w:rPr>
      </w:pPr>
      <w:r>
        <w:rPr>
          <w:color w:val="0200C9"/>
          <w:sz w:val="24"/>
          <w:szCs w:val="24"/>
        </w:rPr>
        <w:t xml:space="preserve">Kegler H, Schmidt HE &amp; Schimanski HH (1968) Der Nachweis weiterer Viruskrankheiten an Obstgehölzen in der Deutschen Demokratischen Republik. Nachrichtenblatt des Deutschen Pflanzenschutzdienst (Berlin), 22, 168-175</w:t>
      </w:r>
    </w:p>
    <w:p>
      <w:pPr>
        <w:numPr>
          <w:ilvl w:val="0"/>
          <w:numId w:val="1"/>
        </w:numPr>
        <w:spacing w:before="0" w:after="0" w:line="240" w:lineRule="auto"/>
        <w:jc w:val="left"/>
        <w:rPr>
          <w:color w:val="0200C9"/>
          <w:sz w:val="24"/>
          <w:szCs w:val="24"/>
        </w:rPr>
      </w:pPr>
      <w:r>
        <w:rPr>
          <w:color w:val="0200C9"/>
          <w:sz w:val="24"/>
          <w:szCs w:val="24"/>
        </w:rPr>
        <w:t xml:space="preserve">Nemeth M (1986) Pear blister canker. In Virus, Mycoplasma and Rickettsia Diseases. Martinus Nijhoff Publishers, Dordrecht, The Netherlands (ed Nemeth M), pp 226-228.</w:t>
      </w:r>
    </w:p>
    <w:p>
      <w:pPr>
        <w:numPr>
          <w:ilvl w:val="0"/>
          <w:numId w:val="1"/>
        </w:numPr>
        <w:spacing w:before="0" w:after="0" w:line="240" w:lineRule="auto"/>
        <w:jc w:val="left"/>
        <w:rPr>
          <w:color w:val="0200C9"/>
          <w:sz w:val="24"/>
          <w:szCs w:val="24"/>
        </w:rPr>
      </w:pPr>
      <w:r>
        <w:rPr>
          <w:color w:val="0200C9"/>
          <w:sz w:val="24"/>
          <w:szCs w:val="24"/>
        </w:rPr>
        <w:t xml:space="preserve">Ronde Kristensen H (1963) Rough bark op pear. In Virus diseases of apples and pears (ed AF Posnette). Technical Communication No. 30. Commonwealth Bureau of Horticulture and Plantation Crops, East Malling, Maidstone, Kent, UK, pp 107-108.</w:t>
      </w:r>
    </w:p>
    <w:p>
      <w:pPr>
        <w:numPr>
          <w:ilvl w:val="0"/>
          <w:numId w:val="1"/>
        </w:numPr>
        <w:spacing w:before="0" w:after="0" w:line="240" w:lineRule="auto"/>
        <w:jc w:val="left"/>
        <w:rPr>
          <w:color w:val="0200C9"/>
          <w:sz w:val="24"/>
          <w:szCs w:val="24"/>
        </w:rPr>
      </w:pPr>
      <w:r>
        <w:rPr>
          <w:color w:val="0200C9"/>
          <w:sz w:val="24"/>
          <w:szCs w:val="24"/>
        </w:rPr>
        <w:t xml:space="preserve">Thomsen A (1961) Split bark of pears (rough bark of pears). Tidsskrift for Planteavl 65, 69-72.</w:t>
      </w:r>
    </w:p>
    <w:p>
      <w:pPr>
        <w:numPr>
          <w:ilvl w:val="0"/>
          <w:numId w:val="1"/>
        </w:numPr>
        <w:spacing w:before="0" w:after="0" w:line="240" w:lineRule="auto"/>
        <w:jc w:val="left"/>
        <w:rPr>
          <w:color w:val="0200C9"/>
          <w:sz w:val="24"/>
          <w:szCs w:val="24"/>
        </w:rPr>
      </w:pPr>
      <w:r>
        <w:rPr>
          <w:color w:val="0200C9"/>
          <w:sz w:val="24"/>
          <w:szCs w:val="24"/>
        </w:rPr>
        <w:t xml:space="preserve">Tzanetakis IE, Aknadibossian V, Špak J, Constable F, Harper SJ, Hammond J, Candresse T, Folimonova SY, Freitas-Astúa J, Fuchs M, Jelkmann W, Maliogka VI, Marais A, Martin RR, Mollov D, Vidalakis G, Aboughanem-Sabanadzovic N, Al Rwahnih M, Alabi OJ, Alioto D, Atanda HY, Bagi F, Baranwal VK, Barbosa C, Bar-Joseph M, Batista Le Riverend L, Belien T, Benítez-Galeano MJ, Bennypaul H, Bertaccini A, Bester R, Blouin AG, Blystad D-R, Botermans M, Bozan O, Brakta A, Brans Y, Bulajić A, Caglayan K, Catara A, Choueiri E, Cieślińska M, Cook G, Cui W, da Graça J, Davino S, Delmiglio C, Dewdney M, Di Serio F, Diaz-Lara A, Digiaro M, Djelouah K, Donovan N. Druciarek TZ, Duran-Vila N, Elçi E, Esquivel-Fariña A, Fall ML, Figueroa J, Fiore N, Fowkes AR, Fox A, Fránová J, Fuchs R, Gaafar YZA, García ML, Ghosh D, Girardi E, Glasa M, Gomez Talquenca S, , Gratz A, Gritsenko D, Hajeri S, Hajizadeh M, Hamborg Z, Ho T, Holeva M, Holkar SK, Horner M, Hurtado-Gonzales OP, Ippolito A, Isac V, Iwanami T, Jofre-y-Garfias AE, Jordan R, Katis N, Koloniuk I, Konings H, Križanac I, Krueger R, Kyrychenko A, Laranjeira F, Lavagi-Craddock I, Levy A, Licciardello G, Lu Q-Y, MacFarlane SA, Marcone C, Maree HJ, Margaria P, Martić A, Massart S, Mathioudakis MM, Matić S, Mavric Plesko I, Meekes ETM, Mehle N, Melzer MJ, Meng B, Menzel W, Miljanić V, Minafra A, Minutolo M, Mitra A, Moreno P, Navarro L, Navarro B, Nerva L, Okić A, Olmos A, Onelge N, Osundahunsi B, Palacios MF, Pallas V, Panno S, Perez-Egusquiza Z, Poudel-Ward B, Radišek S, Ramos-González PL, Ramteke P, Ranabhat NB, Rivarez MPS, Rivas F, Roenhorst A, Roy A, Ruiz-García AB, Sabanadzovic S, Šafářová D, Saldarelli P, Salem N, Sanahuja Solsona G, Schoen R, Sharma SK, Shilts T, Sierra-Mejia A, Singh S, Skelton A, Škorić D, Stainton D, Štajner N, Starović M, Stuchi E, Svoboda P, Tahzima R, Tang J, Tessitori M, Thermoz J-P, Thompson E, Thompson J, Trebicki P, Turina M, Ulubas Serce C, Umble J, Valiunas D, Varallyay E, Varma A, Varveri C, Vasquez-Gutierrez U, Vazquez-Iglesias I, Veerakone S, Villamor DE, Vives MC, Vončina D, Wang J, Wenxing X, Westenberg M, Wetzel T, Winter S, Wright G, Wulff NA, Xu Dong F, Ya Feng D, Yokomi R, Zhou C, Zikeli K&amp; Zindović J (in press) Streamlining global germplasm exchange: Integrating scientific rigor and common sense to exclude phantom agents from regulation. Plant Disease 10.1094/PDIS-04-24-0745-FE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152028">
    <w:multiLevelType w:val="hybridMultilevel"/>
    <w:lvl w:ilvl="0" w:tplc="49500374">
      <w:start w:val="1"/>
      <w:numFmt w:val="decimal"/>
      <w:lvlText w:val="%1."/>
      <w:lvlJc w:val="left"/>
      <w:pPr>
        <w:ind w:left="720" w:hanging="360"/>
      </w:pPr>
    </w:lvl>
    <w:lvl w:ilvl="1" w:tplc="49500374" w:tentative="1">
      <w:start w:val="1"/>
      <w:numFmt w:val="lowerLetter"/>
      <w:lvlText w:val="%2."/>
      <w:lvlJc w:val="left"/>
      <w:pPr>
        <w:ind w:left="1440" w:hanging="360"/>
      </w:pPr>
    </w:lvl>
    <w:lvl w:ilvl="2" w:tplc="49500374" w:tentative="1">
      <w:start w:val="1"/>
      <w:numFmt w:val="lowerRoman"/>
      <w:lvlText w:val="%3."/>
      <w:lvlJc w:val="right"/>
      <w:pPr>
        <w:ind w:left="2160" w:hanging="180"/>
      </w:pPr>
    </w:lvl>
    <w:lvl w:ilvl="3" w:tplc="49500374" w:tentative="1">
      <w:start w:val="1"/>
      <w:numFmt w:val="decimal"/>
      <w:lvlText w:val="%4."/>
      <w:lvlJc w:val="left"/>
      <w:pPr>
        <w:ind w:left="2880" w:hanging="360"/>
      </w:pPr>
    </w:lvl>
    <w:lvl w:ilvl="4" w:tplc="49500374" w:tentative="1">
      <w:start w:val="1"/>
      <w:numFmt w:val="lowerLetter"/>
      <w:lvlText w:val="%5."/>
      <w:lvlJc w:val="left"/>
      <w:pPr>
        <w:ind w:left="3600" w:hanging="360"/>
      </w:pPr>
    </w:lvl>
    <w:lvl w:ilvl="5" w:tplc="49500374" w:tentative="1">
      <w:start w:val="1"/>
      <w:numFmt w:val="lowerRoman"/>
      <w:lvlText w:val="%6."/>
      <w:lvlJc w:val="right"/>
      <w:pPr>
        <w:ind w:left="4320" w:hanging="180"/>
      </w:pPr>
    </w:lvl>
    <w:lvl w:ilvl="6" w:tplc="49500374" w:tentative="1">
      <w:start w:val="1"/>
      <w:numFmt w:val="decimal"/>
      <w:lvlText w:val="%7."/>
      <w:lvlJc w:val="left"/>
      <w:pPr>
        <w:ind w:left="5040" w:hanging="360"/>
      </w:pPr>
    </w:lvl>
    <w:lvl w:ilvl="7" w:tplc="49500374" w:tentative="1">
      <w:start w:val="1"/>
      <w:numFmt w:val="lowerLetter"/>
      <w:lvlText w:val="%8."/>
      <w:lvlJc w:val="left"/>
      <w:pPr>
        <w:ind w:left="5760" w:hanging="360"/>
      </w:pPr>
    </w:lvl>
    <w:lvl w:ilvl="8" w:tplc="49500374" w:tentative="1">
      <w:start w:val="1"/>
      <w:numFmt w:val="lowerRoman"/>
      <w:lvlText w:val="%9."/>
      <w:lvlJc w:val="right"/>
      <w:pPr>
        <w:ind w:left="6480" w:hanging="180"/>
      </w:pPr>
    </w:lvl>
  </w:abstractNum>
  <w:abstractNum w:abstractNumId="74152027">
    <w:multiLevelType w:val="hybridMultilevel"/>
    <w:lvl w:ilvl="0" w:tplc="835298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152027">
    <w:abstractNumId w:val="74152027"/>
  </w:num>
  <w:num w:numId="74152028">
    <w:abstractNumId w:val="741520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68993664"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