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necrosis agent (PRBN00)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necrosis agent (bark necrosis)</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Pear bark necrosis disease was first described by Kegler (1967). Since two types of symptoms were reported, it is still not clear whether one or two agents evoke the symptoms (Nemeth, 1986). Therefore, pear bark necrosis agent would be an appropriate name. Field indexing using woody indexing (Jelkmann, 2004) would be needed for detection and identification. NB. Quince bark necrosis was evoked after graft-inoculation of quince with three isolates of apple rubbery (Cropley et al., 1963), a disease of unknown aetiology.</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br/>
        <w:t xml:space="preserve">Pear bark necrosis agent does not fulfill the requirement of identity and should therefore not be listed as an RNQP.</w:t>
      </w:r>
      <w:r>
        <w:rPr>
          <w:color w:val="F30000"/>
          <w:sz w:val="24"/>
          <w:szCs w:val="24"/>
        </w:rPr>
        <w:br/>
        <w:t xml:space="preserve">[Remark: LT and NL did not support recommendation for regulation of pear bark necrosis agent as an RNQP since no information is available yet on causal agents. DE indicated that pear bark necrosis agent was also listed as an RNQP in CH and GB]</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some reports after inoculation under laboratory conditions indicate that economic impact may depend on pear variety. It was not recently reported to occur under growing conditions in the EU. Desvignes (1999) states that this agent is widespread in France and other countries since a long time ago because of detection in old varieties, but states that the today commercially grown varieties are symptomless.</w:t>
      </w:r>
      <w:r>
        <w:rPr>
          <w:color w:val="606060"/>
          <w:sz w:val="24"/>
          <w:szCs w:val="24"/>
        </w:rPr>
        <w:br/>
        <w:t xml:space="preserve">Desvignes et al. (1999) states that PBCVd is not Pyrus-specific and appears to have nearly the same host range as the type member of the viroid genus to which it belongs, apple scar skin viroid, which can infect both Malus and Pyrus genera, as well as Chaenomeles, Cydonia, Pyronia and Sorbus. The symptoms in case of sensitive varieties appear quickly.</w:t>
      </w:r>
      <w:r>
        <w:rPr>
          <w:color w:val="606060"/>
          <w:sz w:val="24"/>
          <w:szCs w:val="24"/>
        </w:rPr>
        <w:br/>
        <w:br/>
        <w:t xml:space="preserve">However, as the identity of this agent has not been determined, this information is considered unreliable.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83384">
    <w:multiLevelType w:val="hybridMultilevel"/>
    <w:lvl w:ilvl="0" w:tplc="78225729">
      <w:start w:val="1"/>
      <w:numFmt w:val="decimal"/>
      <w:lvlText w:val="%1."/>
      <w:lvlJc w:val="left"/>
      <w:pPr>
        <w:ind w:left="720" w:hanging="360"/>
      </w:pPr>
    </w:lvl>
    <w:lvl w:ilvl="1" w:tplc="78225729" w:tentative="1">
      <w:start w:val="1"/>
      <w:numFmt w:val="lowerLetter"/>
      <w:lvlText w:val="%2."/>
      <w:lvlJc w:val="left"/>
      <w:pPr>
        <w:ind w:left="1440" w:hanging="360"/>
      </w:pPr>
    </w:lvl>
    <w:lvl w:ilvl="2" w:tplc="78225729" w:tentative="1">
      <w:start w:val="1"/>
      <w:numFmt w:val="lowerRoman"/>
      <w:lvlText w:val="%3."/>
      <w:lvlJc w:val="right"/>
      <w:pPr>
        <w:ind w:left="2160" w:hanging="180"/>
      </w:pPr>
    </w:lvl>
    <w:lvl w:ilvl="3" w:tplc="78225729" w:tentative="1">
      <w:start w:val="1"/>
      <w:numFmt w:val="decimal"/>
      <w:lvlText w:val="%4."/>
      <w:lvlJc w:val="left"/>
      <w:pPr>
        <w:ind w:left="2880" w:hanging="360"/>
      </w:pPr>
    </w:lvl>
    <w:lvl w:ilvl="4" w:tplc="78225729" w:tentative="1">
      <w:start w:val="1"/>
      <w:numFmt w:val="lowerLetter"/>
      <w:lvlText w:val="%5."/>
      <w:lvlJc w:val="left"/>
      <w:pPr>
        <w:ind w:left="3600" w:hanging="360"/>
      </w:pPr>
    </w:lvl>
    <w:lvl w:ilvl="5" w:tplc="78225729" w:tentative="1">
      <w:start w:val="1"/>
      <w:numFmt w:val="lowerRoman"/>
      <w:lvlText w:val="%6."/>
      <w:lvlJc w:val="right"/>
      <w:pPr>
        <w:ind w:left="4320" w:hanging="180"/>
      </w:pPr>
    </w:lvl>
    <w:lvl w:ilvl="6" w:tplc="78225729" w:tentative="1">
      <w:start w:val="1"/>
      <w:numFmt w:val="decimal"/>
      <w:lvlText w:val="%7."/>
      <w:lvlJc w:val="left"/>
      <w:pPr>
        <w:ind w:left="5040" w:hanging="360"/>
      </w:pPr>
    </w:lvl>
    <w:lvl w:ilvl="7" w:tplc="78225729" w:tentative="1">
      <w:start w:val="1"/>
      <w:numFmt w:val="lowerLetter"/>
      <w:lvlText w:val="%8."/>
      <w:lvlJc w:val="left"/>
      <w:pPr>
        <w:ind w:left="5760" w:hanging="360"/>
      </w:pPr>
    </w:lvl>
    <w:lvl w:ilvl="8" w:tplc="78225729" w:tentative="1">
      <w:start w:val="1"/>
      <w:numFmt w:val="lowerRoman"/>
      <w:lvlText w:val="%9."/>
      <w:lvlJc w:val="right"/>
      <w:pPr>
        <w:ind w:left="6480" w:hanging="180"/>
      </w:pPr>
    </w:lvl>
  </w:abstractNum>
  <w:abstractNum w:abstractNumId="27283383">
    <w:multiLevelType w:val="hybridMultilevel"/>
    <w:lvl w:ilvl="0" w:tplc="16507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83383">
    <w:abstractNumId w:val="27283383"/>
  </w:num>
  <w:num w:numId="27283384">
    <w:abstractNumId w:val="272833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4646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