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Parabemisia myricae (PRABMY)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(2019); Cyprus (2010); France (2010); France/Corse (2010); Greece (2010); Greece/Kriti (2000); Italy (2010); Italy/Sicilia (2010); Italy/Sardegna (2010); Portugal (2010); Spain (2012); Spain/Islas Canárias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956a3fb6c19b645"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96336a3fb6c19b834"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99536a3fb6c19bbee"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29446a3fb6c19be55"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16966a3fb6c19c0bc"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Parabemisia myricae is recommended in EPPO Standard PM 4-12 Pathogen-tested citrus trees and rootstocks. In responses to the consultation about draft recommendations for RNQP Project part 2, ES supported deregulation in the EU, considering that it has low economic impact.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Feeding by P. myricae causes direct damage, and sooty moulds growing on honeydew deposits block light and air from the leaves, reducing photosynthesis and productivity (CABI, 2021).</w:t>
      </w:r>
      <w:r>
        <w:rPr>
          <w:color w:val="F30000"/>
          <w:sz w:val="24"/>
          <w:szCs w:val="24"/>
        </w:rPr>
        <w:br/>
        <w:t xml:space="preserve">Parabemisia myricae is widespread in Spanish citrus-growing areas (Garrido, 1995; Soto, 2019) but always appears at very low population levels and without causing damage.</w:t>
      </w:r>
      <w:r>
        <w:rPr>
          <w:color w:val="F30000"/>
          <w:sz w:val="24"/>
          <w:szCs w:val="24"/>
        </w:rPr>
        <w:br/>
        <w:t xml:space="preserve">Since the release and establishment of Eretmocerus debachi in Spain (García-Marí et al., 1996), very high levels of parasitism on P. myricae (often reaching 100%) have been observed (Soto, 2019).</w:t>
      </w:r>
      <w:r>
        <w:rPr>
          <w:color w:val="F30000"/>
          <w:sz w:val="24"/>
          <w:szCs w:val="24"/>
        </w:rPr>
        <w:br/>
        <w:t xml:space="preserve">Likewise, in other citrus-producing Member countries (Portugal, Italy and Greece) P. myricae has a potential pest status but always below the economic level of damage (Franco et al., 2006). Similarly in Israel and Türkiye, it was a serious pest until biological control was established (CABI, 2021)</w:t>
      </w:r>
      <w:r>
        <w:rPr>
          <w:color w:val="F30000"/>
          <w:sz w:val="24"/>
          <w:szCs w:val="24"/>
        </w:rPr>
        <w:br/>
        <w:br/>
        <w:t xml:space="preserve">Recorded from woody dicotyledonous hosts in 14 families, in the Mediterranean area avocado and citrus crops are the major hosts (Martin et al., 2000). Poncirus trifoliata is reported as host for Evans (2007) and Fortunella in the EPPO Global Database (</w:t>
      </w:r>
      <w:hyperlink r:id="rId95206a3fb6c19c315" w:history="1">
        <w:r>
          <w:rPr>
            <w:color w:val="F30000"/>
            <w:sz w:val="24"/>
            <w:szCs w:val="24"/>
          </w:rPr>
          <w:t xml:space="preserve">https://gd.eppo.int/taxon/PRABMY/hosts</w:t>
        </w:r>
      </w:hyperlink>
      <w:r>
        <w:rPr>
          <w:color w:val="F3000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may be a time lapse between pest occurrence and parasitoid action, the Fruit SEWG rated economic impact as ‘minor’ (this pest may cause some damage). Its 'Minor' economic impact does not qualify it as RNQP.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unacceptable economic impact after that biological control was established.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(2021) Datasheet for Parabemisia myricae (bayberry whitefly). CABI Compendium 43856. Available at </w:t>
      </w:r>
      <w:hyperlink r:id="rId24766a3fb6c19c570" w:history="1">
        <w:r>
          <w:rPr>
            <w:color w:val="0200C9"/>
            <w:sz w:val="24"/>
            <w:szCs w:val="24"/>
          </w:rPr>
          <w:t xml:space="preserve">https://doi.org/10.1079/cabicompendium.438</w:t>
        </w:r>
      </w:hyperlink>
    </w:p>
    <w:p>
      <w:pPr>
        <w:numPr>
          <w:ilvl w:val="0"/>
          <w:numId w:val="1"/>
        </w:numPr>
        <w:spacing w:before="0" w:after="0" w:line="240" w:lineRule="auto"/>
        <w:jc w:val="left"/>
        <w:rPr>
          <w:color w:val="0200C9"/>
          <w:sz w:val="24"/>
          <w:szCs w:val="24"/>
        </w:rPr>
      </w:pPr>
      <w:r>
        <w:rPr>
          <w:color w:val="0200C9"/>
          <w:sz w:val="24"/>
          <w:szCs w:val="24"/>
        </w:rPr>
        <w:t xml:space="preserve">Evans GA (2007) The Whiteflies (Hemiptera: Aleyrodidae) of the World and their Host Plants and Natural Enemies. USDA/Animal Plant Health Inspection Service.</w:t>
      </w:r>
    </w:p>
    <w:p>
      <w:pPr>
        <w:numPr>
          <w:ilvl w:val="0"/>
          <w:numId w:val="1"/>
        </w:numPr>
        <w:spacing w:before="0" w:after="0" w:line="240" w:lineRule="auto"/>
        <w:jc w:val="left"/>
        <w:rPr>
          <w:color w:val="0200C9"/>
          <w:sz w:val="24"/>
          <w:szCs w:val="24"/>
        </w:rPr>
      </w:pPr>
      <w:r>
        <w:rPr>
          <w:color w:val="0200C9"/>
          <w:sz w:val="24"/>
          <w:szCs w:val="24"/>
        </w:rPr>
        <w:t xml:space="preserve">Franco JC, Garcia-Mari F, Ramos AP &amp; Besri M (2006). Survey on the situation of citrus pest management in Mediterranean countries. IOBC wprs Bulletin 29(3), 335-346.</w:t>
      </w:r>
    </w:p>
    <w:p>
      <w:pPr>
        <w:numPr>
          <w:ilvl w:val="0"/>
          <w:numId w:val="1"/>
        </w:numPr>
        <w:spacing w:before="0" w:after="0" w:line="240" w:lineRule="auto"/>
        <w:jc w:val="left"/>
        <w:rPr>
          <w:color w:val="0200C9"/>
          <w:sz w:val="24"/>
          <w:szCs w:val="24"/>
        </w:rPr>
      </w:pPr>
      <w:r>
        <w:rPr>
          <w:color w:val="0200C9"/>
          <w:sz w:val="24"/>
          <w:szCs w:val="24"/>
        </w:rPr>
        <w:t xml:space="preserve">Garcia-Mari F (2012) Plagas de los cítricos. Gestión Integrada en países de clima mediterráneo. M.V. Phytoma-España, S.L. 556 pp.</w:t>
      </w:r>
    </w:p>
    <w:p>
      <w:pPr>
        <w:numPr>
          <w:ilvl w:val="0"/>
          <w:numId w:val="1"/>
        </w:numPr>
        <w:spacing w:before="0" w:after="0" w:line="240" w:lineRule="auto"/>
        <w:jc w:val="left"/>
        <w:rPr>
          <w:color w:val="0200C9"/>
          <w:sz w:val="24"/>
          <w:szCs w:val="24"/>
        </w:rPr>
      </w:pPr>
      <w:r>
        <w:rPr>
          <w:color w:val="0200C9"/>
          <w:sz w:val="24"/>
          <w:szCs w:val="24"/>
        </w:rPr>
        <w:t xml:space="preserve">Garrido A (1994) Problemas actuales de las moscas blancas en el cultivo de los cítricos (I). Phytoma 58, 48-54.</w:t>
      </w:r>
    </w:p>
    <w:p>
      <w:pPr>
        <w:numPr>
          <w:ilvl w:val="0"/>
          <w:numId w:val="1"/>
        </w:numPr>
        <w:spacing w:before="0" w:after="0" w:line="240" w:lineRule="auto"/>
        <w:jc w:val="left"/>
        <w:rPr>
          <w:color w:val="0200C9"/>
          <w:sz w:val="24"/>
          <w:szCs w:val="24"/>
        </w:rPr>
      </w:pPr>
      <w:r>
        <w:rPr>
          <w:color w:val="0200C9"/>
          <w:sz w:val="24"/>
          <w:szCs w:val="24"/>
        </w:rPr>
        <w:t xml:space="preserve">Garrido A (1995) Moscas blancas en España en los cítricos: importancia, interacciones entre especies, problemática y estrategia de control. Phytoma 72, 41-47.</w:t>
      </w:r>
    </w:p>
    <w:p>
      <w:pPr>
        <w:numPr>
          <w:ilvl w:val="0"/>
          <w:numId w:val="1"/>
        </w:numPr>
        <w:spacing w:before="0" w:after="0" w:line="240" w:lineRule="auto"/>
        <w:jc w:val="left"/>
        <w:rPr>
          <w:color w:val="0200C9"/>
          <w:sz w:val="24"/>
          <w:szCs w:val="24"/>
        </w:rPr>
      </w:pPr>
      <w:r>
        <w:rPr>
          <w:color w:val="0200C9"/>
          <w:sz w:val="24"/>
          <w:szCs w:val="24"/>
        </w:rPr>
        <w:t xml:space="preserve">Martin JH, Mifsud D &amp; Rapisarda C (2000) The whiteflies (Hemiptera: Aleyrodidae) of Europe and the Mediterranean Basin. Bulletin of Entomological Research 90, 407-448.</w:t>
      </w:r>
    </w:p>
    <w:p>
      <w:pPr>
        <w:numPr>
          <w:ilvl w:val="0"/>
          <w:numId w:val="1"/>
        </w:numPr>
        <w:spacing w:before="0" w:after="0" w:line="240" w:lineRule="auto"/>
        <w:jc w:val="left"/>
        <w:rPr>
          <w:color w:val="0200C9"/>
          <w:sz w:val="24"/>
          <w:szCs w:val="24"/>
        </w:rPr>
      </w:pPr>
      <w:r>
        <w:rPr>
          <w:color w:val="0200C9"/>
          <w:sz w:val="24"/>
          <w:szCs w:val="24"/>
        </w:rPr>
        <w:t xml:space="preserve">Soto A (2019) Control biológico clásico como estrategia de sostenibilidad agrícola. Phytoma 310, 68-70.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870210">
    <w:multiLevelType w:val="hybridMultilevel"/>
    <w:lvl w:ilvl="0" w:tplc="19141226">
      <w:start w:val="1"/>
      <w:numFmt w:val="decimal"/>
      <w:lvlText w:val="%1."/>
      <w:lvlJc w:val="left"/>
      <w:pPr>
        <w:ind w:left="720" w:hanging="360"/>
      </w:pPr>
    </w:lvl>
    <w:lvl w:ilvl="1" w:tplc="19141226" w:tentative="1">
      <w:start w:val="1"/>
      <w:numFmt w:val="lowerLetter"/>
      <w:lvlText w:val="%2."/>
      <w:lvlJc w:val="left"/>
      <w:pPr>
        <w:ind w:left="1440" w:hanging="360"/>
      </w:pPr>
    </w:lvl>
    <w:lvl w:ilvl="2" w:tplc="19141226" w:tentative="1">
      <w:start w:val="1"/>
      <w:numFmt w:val="lowerRoman"/>
      <w:lvlText w:val="%3."/>
      <w:lvlJc w:val="right"/>
      <w:pPr>
        <w:ind w:left="2160" w:hanging="180"/>
      </w:pPr>
    </w:lvl>
    <w:lvl w:ilvl="3" w:tplc="19141226" w:tentative="1">
      <w:start w:val="1"/>
      <w:numFmt w:val="decimal"/>
      <w:lvlText w:val="%4."/>
      <w:lvlJc w:val="left"/>
      <w:pPr>
        <w:ind w:left="2880" w:hanging="360"/>
      </w:pPr>
    </w:lvl>
    <w:lvl w:ilvl="4" w:tplc="19141226" w:tentative="1">
      <w:start w:val="1"/>
      <w:numFmt w:val="lowerLetter"/>
      <w:lvlText w:val="%5."/>
      <w:lvlJc w:val="left"/>
      <w:pPr>
        <w:ind w:left="3600" w:hanging="360"/>
      </w:pPr>
    </w:lvl>
    <w:lvl w:ilvl="5" w:tplc="19141226" w:tentative="1">
      <w:start w:val="1"/>
      <w:numFmt w:val="lowerRoman"/>
      <w:lvlText w:val="%6."/>
      <w:lvlJc w:val="right"/>
      <w:pPr>
        <w:ind w:left="4320" w:hanging="180"/>
      </w:pPr>
    </w:lvl>
    <w:lvl w:ilvl="6" w:tplc="19141226" w:tentative="1">
      <w:start w:val="1"/>
      <w:numFmt w:val="decimal"/>
      <w:lvlText w:val="%7."/>
      <w:lvlJc w:val="left"/>
      <w:pPr>
        <w:ind w:left="5040" w:hanging="360"/>
      </w:pPr>
    </w:lvl>
    <w:lvl w:ilvl="7" w:tplc="19141226" w:tentative="1">
      <w:start w:val="1"/>
      <w:numFmt w:val="lowerLetter"/>
      <w:lvlText w:val="%8."/>
      <w:lvlJc w:val="left"/>
      <w:pPr>
        <w:ind w:left="5760" w:hanging="360"/>
      </w:pPr>
    </w:lvl>
    <w:lvl w:ilvl="8" w:tplc="19141226" w:tentative="1">
      <w:start w:val="1"/>
      <w:numFmt w:val="lowerRoman"/>
      <w:lvlText w:val="%9."/>
      <w:lvlJc w:val="right"/>
      <w:pPr>
        <w:ind w:left="6480" w:hanging="180"/>
      </w:pPr>
    </w:lvl>
  </w:abstractNum>
  <w:abstractNum w:abstractNumId="77870209">
    <w:multiLevelType w:val="hybridMultilevel"/>
    <w:lvl w:ilvl="0" w:tplc="69188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870209">
    <w:abstractNumId w:val="77870209"/>
  </w:num>
  <w:num w:numId="77870210">
    <w:abstractNumId w:val="778702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972379" Type="http://schemas.microsoft.com/office/2011/relationships/commentsExtended" Target="commentsExtended.xml"/><Relationship Id="rId16956a3fb6c19b645" Type="http://schemas.openxmlformats.org/officeDocument/2006/relationships/hyperlink" Target="https://gd.eppo.int/" TargetMode="External"/><Relationship Id="rId96336a3fb6c19b834" Type="http://schemas.openxmlformats.org/officeDocument/2006/relationships/hyperlink" Target="https://gd.eppo.int/taxon/PRABMY/hosts" TargetMode="External"/><Relationship Id="rId99536a3fb6c19bbee" Type="http://schemas.openxmlformats.org/officeDocument/2006/relationships/hyperlink" Target="https://doi.org/10.1079/cabicompendium.438" TargetMode="External"/><Relationship Id="rId29446a3fb6c19be55" Type="http://schemas.openxmlformats.org/officeDocument/2006/relationships/hyperlink" Target="https://gd.eppo.int/taxon/PRABMY/hosts" TargetMode="External"/><Relationship Id="rId16966a3fb6c19c0bc" Type="http://schemas.openxmlformats.org/officeDocument/2006/relationships/hyperlink" Target="https://doi.org/10.1079/cabicompendium.438" TargetMode="External"/><Relationship Id="rId95206a3fb6c19c315" Type="http://schemas.openxmlformats.org/officeDocument/2006/relationships/hyperlink" Target="https://gd.eppo.int/taxon/PRABMY/hosts" TargetMode="External"/><Relationship Id="rId24766a3fb6c19c570" Type="http://schemas.openxmlformats.org/officeDocument/2006/relationships/hyperlink" Target="https://doi.org/10.1079/cabicompendium.43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