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prunorum (PHYPPR)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(2021); Belgium (2012); Bulgaria (2012); Croatia (2012); Czech Republic (2012); France (2012); France/Corse (2012); Germany (2019); Greece (2012); Hungary (2023); Italy (2012); Italy/Sardegna (2012); Poland (2012); Romania (2012); Slovenia (2018);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876a3fbaaf9f438" w:history="1">
        <w:r>
          <w:rPr>
            <w:color w:val="0200C9"/>
            <w:sz w:val="24"/>
            <w:szCs w:val="24"/>
          </w:rPr>
          <w:t xml:space="preserve">https://gd.eppo.int/</w:t>
        </w:r>
      </w:hyperlink>
      <w:r>
        <w:rPr>
          <w:color w:val="0200C9"/>
          <w:sz w:val="24"/>
          <w:szCs w:val="24"/>
        </w:rPr>
        <w:t xml:space="preserve">). During the RNQP Project - part 1, this pest was a candidate for the RNQP status according to the IIA2AWG.</w:t>
      </w:r>
      <w:r>
        <w:rPr>
          <w:color w:val="0200C9"/>
          <w:sz w:val="24"/>
          <w:szCs w:val="24"/>
        </w:rPr>
        <w:br/>
        <w:t xml:space="preserve">Comment by forestry experts during RNQP Project - part 1: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also covers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for tolerance levels of propagating material (Yes, for the tolerance level for basic material in the field).</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propagating material, based on visual examination.</w:t>
      </w:r>
      <w:r>
        <w:rPr>
          <w:color w:val="0200C9"/>
          <w:sz w:val="24"/>
          <w:szCs w:val="24"/>
        </w:rPr>
        <w:br/>
        <w:t xml:space="preserve">The Fruit SEWG agreed that a tolerance level in the field at 0% for basic was too strict since production of basic material is done under outdoor conditions, but did not propose a particular threshold.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3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Plants in the site of production showing symptoms during inspections at appropriate times during the last growing season, be rogued out and destroyed immediately.</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3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200C9"/>
          <w:sz w:val="24"/>
          <w:szCs w:val="24"/>
        </w:rPr>
        <w:br/>
        <w:br/>
        <w:t xml:space="preserve">In RNQP Project part 1, a 2% threshold was also applicable to ‘Candidatus Phytoplasma pyri’ in the recommendation by the Fruit SEWG. However, in 2021, EU regulation for ‘Ca. P. Pyri’, option B)c) was replaced 2021 by:</w:t>
      </w:r>
      <w:r>
        <w:rPr>
          <w:color w:val="0200C9"/>
          <w:sz w:val="24"/>
          <w:szCs w:val="24"/>
        </w:rPr>
        <w:br/>
        <w:t xml:space="preserve">(B)(c) the plants in the site of production and any plants in the immediate vicinity, which have shown symptoms of Candidatus Phytoplasma pyri during visual inspections at appropriate times during the last three growing seasons, have been rogued out and destroyed immediately.</w:t>
      </w:r>
      <w:r>
        <w:rPr>
          <w:color w:val="0200C9"/>
          <w:sz w:val="24"/>
          <w:szCs w:val="24"/>
        </w:rPr>
        <w:br/>
        <w:t xml:space="preserve">During the RNQP Project part 2, the Fruit SEWG recommended to increase the testing frequency of the mother plants (every 3 years instead of 5) but to remove testing in the site of production itself for CAC material (see measures) based on the following considerations. A high level of infection in the nursery will be due to a problem of infection of the mother plants (not from the environment), Prunus plants are generally sold after one year (which would not be enough time to observe the symptoms) and some level of infection from the environment will occur (remark: treatments of the vector would work to avoid the vector population building up in the nursery, but not to protect against infections by the vector arriving in the nursery when migrating from wild plums to conifers, which is the main issue for peach and apricot).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Remarks from RNQP Project part 1: 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During RNQP Project part 1, 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86706a3fbaaf9f9b6"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Koncz LS, Petróczy M, Pénzes B, Ladányi M, Palkovics L, Gyócsi P, Nagy G, Ágoston J &amp; Fail J (2023) Detection of ‘Candidatus Phythoplasma prunorum’ in Apricot Trees and its Associated Psyllid Samples. Agronomy, 13(1), 199. </w:t>
      </w:r>
      <w:hyperlink r:id="rId36896a3fbaaf9f9ff" w:history="1">
        <w:r>
          <w:rPr>
            <w:color w:val="0200C9"/>
            <w:sz w:val="24"/>
            <w:szCs w:val="24"/>
          </w:rPr>
          <w:t xml:space="preserve">https://doi.org/10.3390/agronomy13010199</w:t>
        </w:r>
      </w:hyperlink>
    </w:p>
    <w:p>
      <w:pPr>
        <w:numPr>
          <w:ilvl w:val="0"/>
          <w:numId w:val="1"/>
        </w:numPr>
        <w:spacing w:before="0" w:after="0" w:line="240" w:lineRule="auto"/>
        <w:jc w:val="left"/>
        <w:rPr>
          <w:color w:val="0200C9"/>
          <w:sz w:val="24"/>
          <w:szCs w:val="24"/>
        </w:rPr>
      </w:pPr>
      <w:r>
        <w:rPr>
          <w:color w:val="0200C9"/>
          <w:sz w:val="24"/>
          <w:szCs w:val="24"/>
        </w:rPr>
        <w:t xml:space="preserve">Marie-Jeanne V, Bonnot F, Thébaud G, Peccoud J, Labonne G &amp; Sauvion N (2020) Multi-scale spatial genetic structure of the vector-borne pathogen ‘Candidatus Phytoplasma prunorum’ in orchards and in wild habitats. Scientific Reports, 10(1), 5002. </w:t>
      </w:r>
      <w:hyperlink r:id="rId58716a3fbaaf9fa25" w:history="1">
        <w:r>
          <w:rPr>
            <w:color w:val="0200C9"/>
            <w:sz w:val="24"/>
            <w:szCs w:val="24"/>
          </w:rPr>
          <w:t xml:space="preserve">https://doi.org/10.1038/s41598-020-61908-0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27006a3fbaaf9fa4f"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Nečas T, Kiss T, Eichmeier A, Nečasová J &amp; Ondrášek I (2018) The effect of phytoplasma disease caused by ‘Candidatus Phytoplasma prunorum’ on the phenological and pomological traits in apricot trees. Notulae Botanicae Horti Agrobotanici Cluj-Napoca 46(1):107-114. </w:t>
      </w:r>
      <w:hyperlink r:id="rId44026a3fbaaf9fa7b" w:history="1">
        <w:r>
          <w:rPr>
            <w:color w:val="0200C9"/>
            <w:sz w:val="24"/>
            <w:szCs w:val="24"/>
          </w:rPr>
          <w:t xml:space="preserve">https://doi.org/10.15835/nbha46110879$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7296a3fbaaf9faa5"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40326a3fbaaf9fad2"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282412">
    <w:multiLevelType w:val="hybridMultilevel"/>
    <w:lvl w:ilvl="0" w:tplc="80762956">
      <w:start w:val="1"/>
      <w:numFmt w:val="decimal"/>
      <w:lvlText w:val="%1."/>
      <w:lvlJc w:val="left"/>
      <w:pPr>
        <w:ind w:left="720" w:hanging="360"/>
      </w:pPr>
    </w:lvl>
    <w:lvl w:ilvl="1" w:tplc="80762956" w:tentative="1">
      <w:start w:val="1"/>
      <w:numFmt w:val="lowerLetter"/>
      <w:lvlText w:val="%2."/>
      <w:lvlJc w:val="left"/>
      <w:pPr>
        <w:ind w:left="1440" w:hanging="360"/>
      </w:pPr>
    </w:lvl>
    <w:lvl w:ilvl="2" w:tplc="80762956" w:tentative="1">
      <w:start w:val="1"/>
      <w:numFmt w:val="lowerRoman"/>
      <w:lvlText w:val="%3."/>
      <w:lvlJc w:val="right"/>
      <w:pPr>
        <w:ind w:left="2160" w:hanging="180"/>
      </w:pPr>
    </w:lvl>
    <w:lvl w:ilvl="3" w:tplc="80762956" w:tentative="1">
      <w:start w:val="1"/>
      <w:numFmt w:val="decimal"/>
      <w:lvlText w:val="%4."/>
      <w:lvlJc w:val="left"/>
      <w:pPr>
        <w:ind w:left="2880" w:hanging="360"/>
      </w:pPr>
    </w:lvl>
    <w:lvl w:ilvl="4" w:tplc="80762956" w:tentative="1">
      <w:start w:val="1"/>
      <w:numFmt w:val="lowerLetter"/>
      <w:lvlText w:val="%5."/>
      <w:lvlJc w:val="left"/>
      <w:pPr>
        <w:ind w:left="3600" w:hanging="360"/>
      </w:pPr>
    </w:lvl>
    <w:lvl w:ilvl="5" w:tplc="80762956" w:tentative="1">
      <w:start w:val="1"/>
      <w:numFmt w:val="lowerRoman"/>
      <w:lvlText w:val="%6."/>
      <w:lvlJc w:val="right"/>
      <w:pPr>
        <w:ind w:left="4320" w:hanging="180"/>
      </w:pPr>
    </w:lvl>
    <w:lvl w:ilvl="6" w:tplc="80762956" w:tentative="1">
      <w:start w:val="1"/>
      <w:numFmt w:val="decimal"/>
      <w:lvlText w:val="%7."/>
      <w:lvlJc w:val="left"/>
      <w:pPr>
        <w:ind w:left="5040" w:hanging="360"/>
      </w:pPr>
    </w:lvl>
    <w:lvl w:ilvl="7" w:tplc="80762956" w:tentative="1">
      <w:start w:val="1"/>
      <w:numFmt w:val="lowerLetter"/>
      <w:lvlText w:val="%8."/>
      <w:lvlJc w:val="left"/>
      <w:pPr>
        <w:ind w:left="5760" w:hanging="360"/>
      </w:pPr>
    </w:lvl>
    <w:lvl w:ilvl="8" w:tplc="80762956" w:tentative="1">
      <w:start w:val="1"/>
      <w:numFmt w:val="lowerRoman"/>
      <w:lvlText w:val="%9."/>
      <w:lvlJc w:val="right"/>
      <w:pPr>
        <w:ind w:left="6480" w:hanging="180"/>
      </w:pPr>
    </w:lvl>
  </w:abstractNum>
  <w:abstractNum w:abstractNumId="27282411">
    <w:multiLevelType w:val="hybridMultilevel"/>
    <w:lvl w:ilvl="0" w:tplc="71650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282411">
    <w:abstractNumId w:val="27282411"/>
  </w:num>
  <w:num w:numId="27282412">
    <w:abstractNumId w:val="272824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1354941" Type="http://schemas.microsoft.com/office/2011/relationships/commentsExtended" Target="commentsExtended.xml"/><Relationship Id="rId92876a3fbaaf9f438" Type="http://schemas.openxmlformats.org/officeDocument/2006/relationships/hyperlink" Target="https://gd.eppo.int/" TargetMode="External"/><Relationship Id="rId86706a3fbaaf9f9b6" Type="http://schemas.openxmlformats.org/officeDocument/2006/relationships/hyperlink" Target="https://www.anses.fr/fr/system/files/SVEG2011sa0137Ra.pdf" TargetMode="External"/><Relationship Id="rId36896a3fbaaf9f9ff" Type="http://schemas.openxmlformats.org/officeDocument/2006/relationships/hyperlink" Target="https://doi.org/10.3390/agronomy13010199" TargetMode="External"/><Relationship Id="rId58716a3fbaaf9fa25" Type="http://schemas.openxmlformats.org/officeDocument/2006/relationships/hyperlink" Target="https://doi.org/10.1038/s41598-020-61908-0" TargetMode="External"/><Relationship Id="rId27006a3fbaaf9fa4f" Type="http://schemas.openxmlformats.org/officeDocument/2006/relationships/hyperlink" Target="http://www.kmetijskizavod-ng.si/priponke/OVR/fitoplazme_slovenia.pdf" TargetMode="External"/><Relationship Id="rId44026a3fbaaf9fa7b" Type="http://schemas.openxmlformats.org/officeDocument/2006/relationships/hyperlink" Target="https://doi.org/10.15835/nbha46110879$" TargetMode="External"/><Relationship Id="rId27296a3fbaaf9faa5" Type="http://schemas.openxmlformats.org/officeDocument/2006/relationships/hyperlink" Target="http://www.efsa.europa.eu/fr/supporting/doc/319e.pdf" TargetMode="External"/><Relationship Id="rId40326a3fbaaf9fad2" Type="http://schemas.openxmlformats.org/officeDocument/2006/relationships/hyperlink" Target="http://dvrs.bf.uni-lj.si/spvr/2013/17Seljak.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