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NL, PL and SI supported deregulation in the EU. NL and PL considered that plants for planting was not the main pathway. NL added that economic impact was considered acceptable since Fragaria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but also peach yellows and peach rosette belong to the Ca. P. pruni group (16SrIII Western-X disease group) (EFSA, 2020). Other host plants are Vaccinium infected by Vaccinium witches’ broom in Europe (16SrIII-F) (Siller et al., 1986; Lorenz et al., 1986; Seemüller et al., 1994, Valiunas et al., 2004) and cranberry false blossom disease in the USA and Canada (16SrIII-Y) (Lee et al., 2014). In strawberry it is linked to strawberry fruit phyllody (16SrIII-K, Florida) (Jomantiene et al. 2002) and lethal redness disease (16SrIII-J/K/new; Argentina) (Fernandez et al., 2017). It can be associated with various yellows, witches’ broom and stunt diseases (Bertaccini &amp; Duduk, 2009). However, in the beginning of the 1900’s poinsettia plants (Euphorbia pulcherrima) with a free branching form were selected, this turned out to be associated with a ‘Ca. Phytoplasma pruni’ related strain (16SrIII-H). The subtle interactions between the phytoplasma and poinsettia results in a dwarfing and moderate branching growth habit, which happens to be a train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(IPWG, 2023); it was also found in Lithuania (Valiunas et al., 2004) and similar diseases were reported from Sweden and the Netherlands, but these phytoplasmas were not further characterized.</w:t>
      </w:r>
      <w:r>
        <w:rPr>
          <w:color w:val="F30000"/>
          <w:sz w:val="24"/>
          <w:szCs w:val="24"/>
        </w:rPr>
        <w:br/>
        <w:t xml:space="preserve">In nature the spread of phytoplasmas is linked to leaf hoppers (for a overview see e.g. Weintraub &amp; Beanland, 2006). In the USA cranberry false blossom phytoplasma is transmitted by the blunt-nosed leaf hopper Limotettis vaccinii (Chen, revised by Polashock, 2017).</w:t>
      </w:r>
      <w:r>
        <w:rPr>
          <w:color w:val="F30000"/>
          <w:sz w:val="24"/>
          <w:szCs w:val="24"/>
        </w:rPr>
        <w:br/>
        <w:t xml:space="preserve">It can also be graft-transmitted. However strawberry is mainly produced from in-vitro plants in the EPPO region.</w:t>
      </w:r>
      <w:r>
        <w:rPr>
          <w:color w:val="F30000"/>
          <w:sz w:val="24"/>
          <w:szCs w:val="24"/>
        </w:rPr>
        <w:br/>
        <w:t xml:space="preserve">Although ‘Ca. P. pruni’ related strains have been reported from Europe, it has not been described in strawberry.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it has been linked with symptoms like strawberry fruit phyllody (16SrIII-K, FLorida; Jomantiene et al. 2002) and lethal redness disease (16SrIII-J/K/new; Argentina, Fernandez et al., 2017) it has not been described in strawberry in Europe (yet).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'Ca. P. pruni' 16SrIII-A is not reported in the EU, and plants for planting are not considered to be a significant pathway for the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28076a0426b9b77b0"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w:t>
      </w:r>
      <w:hyperlink r:id="rId34206a0426b9b77e3"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NL, PL and SI supported deregulation in the EU. NL and PL considered that plants for planting was not the main pathway. NL added that economic impact was considered acceptable since Vaccinium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or western-X disease , but also peach yellows and peach rosette belong to the Ca. P. pruni group (16SrIII X-disease group) (EFSA, 2020). Other host plants are Vaccinium associated with Vaccinium witches’ broom in Europe (16SrIII-F; Siller et al., 1986; Lorenz et al., 1986; Seemüller et al., 1994, Valiunas et al., 2004) and cranberry false blossom disease in the USA (16SrIII-Y USA, Canada, Lee et al., 2014). In strawberry it is linked to strawberry fruit phyllody (16SrIII-K, FLorida; Jomantiene et al. 2002) and lethal redness disease (16SrIII-J/K/new; Argentina, Fernandez et al., 2017). It can be assocoated with various yellows, witches’ broom and stunt diseases (Bertaccini &amp; Dudek, 2009). However, in the beginning of the 1900’s poinsettia plants (Euphorbia pulcherrima) with a free branching form were selected, this turned out to be caused by phytoplasma, belonging to ‘Ca. P. pruni’ related strain (16SrIII-H). The subtle interactions between the phytoplasma and poinsettia results in a dwarfing and moderate branching growth habit, which happens to be a trait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(16SrIII-F, IPWG, 2023). It was also found in Lithuania (Valiunas et al., 2004) and similar diseases were reported from Sweden and the Netherlands (Bos, 1960; Tomenius &amp; Ahman, 1983), but the technique for further characterized was not yet available. The observed spread in Lithuania in wild V. myrtillus indicated a local vector (Valiunas et al., 2004). In nature the spread of phytoplasma is linked to leaf hoppers, for a overview see e.g. Weintraub &amp; Beanland (2006). In the USA cranberry false blossom phytoplasma is transmitted by the blunt-nosed leaf hopper Limotettis vaccinii, which is present in the environment (Chen, revised by Polashock, 2017).</w:t>
      </w:r>
      <w:r>
        <w:rPr>
          <w:color w:val="F30000"/>
          <w:sz w:val="24"/>
          <w:szCs w:val="24"/>
        </w:rPr>
        <w:br/>
        <w:t xml:space="preserve">The phytoplasma can also be graft-transmitted in e.g. Prunus spp.</w:t>
      </w:r>
      <w:r>
        <w:rPr>
          <w:color w:val="F30000"/>
          <w:sz w:val="24"/>
          <w:szCs w:val="24"/>
        </w:rPr>
        <w:br/>
        <w:t xml:space="preserve">Vaccinium is mainly produced from in-vitro plants in the EPPO region.</w:t>
      </w:r>
      <w:r>
        <w:rPr>
          <w:color w:val="F30000"/>
          <w:sz w:val="24"/>
          <w:szCs w:val="24"/>
        </w:rPr>
        <w:br/>
        <w:t xml:space="preserve">The Fruit SEWG considered that, if considering 'Ca. P. pruni' related strains which are present in the EU,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enlarges calix, shortened, discolored and streaked petals. In the first half o the 20th century the prevalence of cranberry false-blossom disease and an abondance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606060"/>
          <w:sz w:val="24"/>
          <w:szCs w:val="24"/>
        </w:rPr>
        <w:br/>
        <w:t xml:space="preserve">Blueberry witches’ broom (16SrIII-F) in European blueberry (Vaccinium myrtillus) exhibited symptoms of chlorosis, little leaf and shoot proliferation (Valiunas et al., 2004), but there are no data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(Vaccinium mainly produced from in-vitro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68226a0426b9b7e97"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University of Bologna, Italy. </w:t>
      </w:r>
      <w:hyperlink r:id="rId59276a0426b9b872d"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64174">
    <w:multiLevelType w:val="hybridMultilevel"/>
    <w:lvl w:ilvl="0" w:tplc="76883425">
      <w:start w:val="1"/>
      <w:numFmt w:val="decimal"/>
      <w:lvlText w:val="%1."/>
      <w:lvlJc w:val="left"/>
      <w:pPr>
        <w:ind w:left="720" w:hanging="360"/>
      </w:pPr>
    </w:lvl>
    <w:lvl w:ilvl="1" w:tplc="76883425" w:tentative="1">
      <w:start w:val="1"/>
      <w:numFmt w:val="lowerLetter"/>
      <w:lvlText w:val="%2."/>
      <w:lvlJc w:val="left"/>
      <w:pPr>
        <w:ind w:left="1440" w:hanging="360"/>
      </w:pPr>
    </w:lvl>
    <w:lvl w:ilvl="2" w:tplc="76883425" w:tentative="1">
      <w:start w:val="1"/>
      <w:numFmt w:val="lowerRoman"/>
      <w:lvlText w:val="%3."/>
      <w:lvlJc w:val="right"/>
      <w:pPr>
        <w:ind w:left="2160" w:hanging="180"/>
      </w:pPr>
    </w:lvl>
    <w:lvl w:ilvl="3" w:tplc="76883425" w:tentative="1">
      <w:start w:val="1"/>
      <w:numFmt w:val="decimal"/>
      <w:lvlText w:val="%4."/>
      <w:lvlJc w:val="left"/>
      <w:pPr>
        <w:ind w:left="2880" w:hanging="360"/>
      </w:pPr>
    </w:lvl>
    <w:lvl w:ilvl="4" w:tplc="76883425" w:tentative="1">
      <w:start w:val="1"/>
      <w:numFmt w:val="lowerLetter"/>
      <w:lvlText w:val="%5."/>
      <w:lvlJc w:val="left"/>
      <w:pPr>
        <w:ind w:left="3600" w:hanging="360"/>
      </w:pPr>
    </w:lvl>
    <w:lvl w:ilvl="5" w:tplc="76883425" w:tentative="1">
      <w:start w:val="1"/>
      <w:numFmt w:val="lowerRoman"/>
      <w:lvlText w:val="%6."/>
      <w:lvlJc w:val="right"/>
      <w:pPr>
        <w:ind w:left="4320" w:hanging="180"/>
      </w:pPr>
    </w:lvl>
    <w:lvl w:ilvl="6" w:tplc="76883425" w:tentative="1">
      <w:start w:val="1"/>
      <w:numFmt w:val="decimal"/>
      <w:lvlText w:val="%7."/>
      <w:lvlJc w:val="left"/>
      <w:pPr>
        <w:ind w:left="5040" w:hanging="360"/>
      </w:pPr>
    </w:lvl>
    <w:lvl w:ilvl="7" w:tplc="76883425" w:tentative="1">
      <w:start w:val="1"/>
      <w:numFmt w:val="lowerLetter"/>
      <w:lvlText w:val="%8."/>
      <w:lvlJc w:val="left"/>
      <w:pPr>
        <w:ind w:left="5760" w:hanging="360"/>
      </w:pPr>
    </w:lvl>
    <w:lvl w:ilvl="8" w:tplc="76883425" w:tentative="1">
      <w:start w:val="1"/>
      <w:numFmt w:val="lowerRoman"/>
      <w:lvlText w:val="%9."/>
      <w:lvlJc w:val="right"/>
      <w:pPr>
        <w:ind w:left="6480" w:hanging="180"/>
      </w:pPr>
    </w:lvl>
  </w:abstractNum>
  <w:abstractNum w:abstractNumId="74164173">
    <w:multiLevelType w:val="hybridMultilevel"/>
    <w:lvl w:ilvl="0" w:tplc="11005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64173">
    <w:abstractNumId w:val="74164173"/>
  </w:num>
  <w:num w:numId="74164174">
    <w:abstractNumId w:val="74164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647475" Type="http://schemas.microsoft.com/office/2011/relationships/commentsExtended" Target="commentsExtended.xml"/><Relationship Id="rId28076a0426b9b77b0" Type="http://schemas.openxmlformats.org/officeDocument/2006/relationships/hyperlink" Target="https://doi.org/10.1007/BF01877050" TargetMode="External"/><Relationship Id="rId34206a0426b9b77e3" Type="http://schemas.openxmlformats.org/officeDocument/2006/relationships/hyperlink" Target="https://www.ipwgnet.org/collection" TargetMode="External"/><Relationship Id="rId68226a0426b9b7e97" Type="http://schemas.openxmlformats.org/officeDocument/2006/relationships/hyperlink" Target="https://doi.org/10.1007/BF01877050" TargetMode="External"/><Relationship Id="rId59276a0426b9b872d"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