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Cranberry false blossom phytoplasma (PHYPFB)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Remark: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606060"/>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606060"/>
          <w:sz w:val="24"/>
          <w:szCs w:val="24"/>
        </w:rPr>
        <w:br/>
        <w:br/>
        <w:t xml:space="preserve">The American strains (known as cranberry false blossom disease, CFBD) are probably different from the European strains (known as witches’ broom), but all belong to ‘Candidatus Phytoplasma pruni’ or ‘Ca P. pruni’ related strains / 16SrIII group / X-disease group. The phytoplasma responsible for CFBD can also cause witches’ broom symptoms. In North America the vectors are mostly known, in Europe the vectors are not known / not reported – probably due to the rarity of phytoplasma disease in commercial Vaccinium spp.</w:t>
      </w:r>
      <w:r>
        <w:rPr>
          <w:color w:val="606060"/>
          <w:sz w:val="24"/>
          <w:szCs w:val="24"/>
        </w:rPr>
        <w:br/>
        <w:br/>
        <w:t xml:space="preserve">The cranberry false blossom disease (CFBD), caused by a phytoplasma from subgroup 16SrIII-Y (Lee et al. 2014), affects the American cranberry (Vaccinium macrocarpon) and is vectored by the blunt-nosed leafhopper Limotettix vaccinii (Beckwith &amp; Hutton, 1929; in Almeida Santos et al., 2023; Chen &amp; Polashock, 2017). CFBD-infected plants exhibit symptoms like witches’ broom-shaped shoots, early reddening leaves, and malformed flowers with distinct discoloration, leading to failed fruit setting (Pradit et al. 2019). From 1920 to 1930, CFBD severely threatened cranberry production in New Jersey, USA, almost collapsing the industry (Beckwith &amp; Hutton 1929; in Almeida Santos et al., 2023). Control measures, including insecticides, removing infected plants, and introducing less vector-attractive cultivars, eventually reduced the disease’s prevalence. However, recent reports indicate its resurgent occurrence on many cranberry farms in New Jersey, USA, where another leafhopper species, Scaphytopius magdalensis , previously identified as a blueberry stunt phytoplasma vector, was positive for the CFBD phytoplasma, although no transmission assay was performed (Lee et al. 2014). This indicates that S. magdalensis could also be a CFBD phytoplasma vector in North America (Almeida Santos et al., 2023).</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Cranberry false blossom disease (16SrIII-Y USA, Canada, Lee et al., 2014) also belongs to the ‘Ca. Phytoplasma pruni’ group &amp; related strains. However, it has not been reported from the EU yet. Remark: presence in the EU depends on species definition: Ca. P. pruni (-related) or seperate species.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Standard PM 4-18 Certification scheme for Vaccinium, which recommends testing for 'Cranberry false blossom phytoplasma'. However, when responding to the questionnaire, AT, NL, PL and SI supported deregulation in the EU: NL and SI questioned whether the phytoplasma was present in the EU. PL considered that plants for planting was not the main pathway. AT was in favour of listing all Phytoplasmas together (phytoplasma symptoms may not be differentiated and, 'likely, a laboratory test will be a universal phytoplasma test'). Evaluation continues with a full assessment.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Cranberry false blossom disease belongs to the ‘Ca. Phytoplasma pruni’ group &amp; related strains.</w:t>
      </w:r>
      <w:r>
        <w:rPr>
          <w:color w:val="606060"/>
          <w:sz w:val="24"/>
          <w:szCs w:val="24"/>
        </w:rPr>
        <w:br/>
        <w:t xml:space="preserve">‘Ca. Phytoplasma pruni’ &amp; related strains have a wide host range (EFSA, 2020; Siller et al., 1986; Lorenz et al., 1986; Seemüller et al., 1994, Valiunas et al., 2004; Jomantiene et al. 2002; Fernandez et al., 2017; Bertaccini &amp; Dudek, 2009; Lee, 2000).</w:t>
      </w:r>
      <w:r>
        <w:rPr>
          <w:color w:val="606060"/>
          <w:sz w:val="24"/>
          <w:szCs w:val="24"/>
        </w:rPr>
        <w:br/>
        <w:t xml:space="preserve">Cranberry false blossom disease (16SrIII-Y USA, Canada, Lee et al., 2014) is only reported from Vaccinium macrocarpon (cranberry) and V. oxycoccus.</w:t>
      </w:r>
      <w:r>
        <w:rPr>
          <w:color w:val="606060"/>
          <w:sz w:val="24"/>
          <w:szCs w:val="24"/>
        </w:rPr>
        <w:br/>
        <w:t xml:space="preserve">It is vectored by the blunt-nosed leafhopper (Limotettix vaccinii, formely known as Scleroracus vaccinii, Euscellis striatulus) (Lee et al., 2014; Chen &amp; Polashock, 2017). The leafhopper Scaphytopius magdalensis was also found positive for CFBD, which could indicate that this species might be also a vector, but no transmission experiments were carried out (Lee et al., 2014; Almeida Santos et al., 2023).</w:t>
      </w:r>
      <w:r>
        <w:rPr>
          <w:color w:val="606060"/>
          <w:sz w:val="24"/>
          <w:szCs w:val="24"/>
        </w:rPr>
        <w:br/>
        <w:t xml:space="preserve">Phytoplasmas can travel with plant material, but as long as the vector is not occurring in the area, no field transmission is expected.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Cranberry false blossom disease in the USA (16SrIII-Y), infected plants of American cranberry (Vaccinium macrocarpon) exhibit abnormal floral structure including enlarged calix, and shortened, discolored and streaked petals. In the first half o the 20th century the prevalence of cranberry false-blossom disease and an abundance of the vector (Limotettix vacinii) that transmitted the disease became a threat for the cranberry industry in the USA. Through collective efforts, varieties resistant to false-blossom disease were developed and reduced false blossom to an insignificant factor. However there appears to be a resurgence of the disease (Lee et al., 2014; Chen revised by Polashock,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USA and Canada, the phytoplasma and its vector are already in the field, and propagation material is not a major pathway.</w:t>
      </w:r>
      <w:r>
        <w:rPr>
          <w:color w:val="606060"/>
          <w:sz w:val="24"/>
          <w:szCs w:val="24"/>
        </w:rPr>
        <w:br/>
        <w:t xml:space="preserve">Late flooding has been shown to cause a higher mortality of plants with false blossom than of healthy plants and thus reduces inoculum sources. Flooding a bed in June, just before the flowers open and after the leafhopper eggs have hatched, has proved effective for leafhopper control, but timing is critical and vine damage is a distinct possibility (Chen revised by Polashock, 2017).</w:t>
      </w:r>
      <w:r>
        <w:rPr>
          <w:color w:val="606060"/>
          <w:sz w:val="24"/>
          <w:szCs w:val="24"/>
        </w:rPr>
        <w:br/>
        <w:t xml:space="preserve">Cultivars which are reported to have field resistance, were found to be less attractive to the vector than were more susceptible cultivars (Chen revised by Polashock,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absent from the EU. Also covered by the RNQP summary sheet for 'Ca. P. pruni' (and related strains).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Almeida Santos A, Jacques J, Plante N, Fournier V &amp; Perez-Lopez E (2023) Leafhoppers as vectors of phytoplasma diseases in Canadian berry crops: a review in the face of climate change. Annals of the Entomological Society of America 117(1), 14-20</w:t>
      </w:r>
    </w:p>
    <w:p>
      <w:pPr>
        <w:numPr>
          <w:ilvl w:val="0"/>
          <w:numId w:val="1"/>
        </w:numPr>
        <w:spacing w:before="0" w:after="0" w:line="240" w:lineRule="auto"/>
        <w:jc w:val="left"/>
        <w:rPr>
          <w:color w:val="0200C9"/>
          <w:sz w:val="24"/>
          <w:szCs w:val="24"/>
        </w:rPr>
      </w:pPr>
      <w:r>
        <w:rPr>
          <w:color w:val="0200C9"/>
          <w:sz w:val="24"/>
          <w:szCs w:val="24"/>
        </w:rPr>
        <w:t xml:space="preserve">Beckwith CS &amp; Hutton SB (1929) Cranberry false blossom and the blunt-nosed leafhopper. New Jersey Agricultural Experiment Station Bulletin 491, 1-16.</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Chen TA &amp; Polashock, 2017. False blossom. In Compendium of blueberry, cranberry, and lingonberry diseases and pests 2nd edition (eds Polashock JJ, Caruso FL, Averill AL &amp; Schilder AC). American Phytopathological Society, St. Paul, Minnesota, USA. pages 123-124.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108922">
    <w:multiLevelType w:val="hybridMultilevel"/>
    <w:lvl w:ilvl="0" w:tplc="75615114">
      <w:start w:val="1"/>
      <w:numFmt w:val="decimal"/>
      <w:lvlText w:val="%1."/>
      <w:lvlJc w:val="left"/>
      <w:pPr>
        <w:ind w:left="720" w:hanging="360"/>
      </w:pPr>
    </w:lvl>
    <w:lvl w:ilvl="1" w:tplc="75615114" w:tentative="1">
      <w:start w:val="1"/>
      <w:numFmt w:val="lowerLetter"/>
      <w:lvlText w:val="%2."/>
      <w:lvlJc w:val="left"/>
      <w:pPr>
        <w:ind w:left="1440" w:hanging="360"/>
      </w:pPr>
    </w:lvl>
    <w:lvl w:ilvl="2" w:tplc="75615114" w:tentative="1">
      <w:start w:val="1"/>
      <w:numFmt w:val="lowerRoman"/>
      <w:lvlText w:val="%3."/>
      <w:lvlJc w:val="right"/>
      <w:pPr>
        <w:ind w:left="2160" w:hanging="180"/>
      </w:pPr>
    </w:lvl>
    <w:lvl w:ilvl="3" w:tplc="75615114" w:tentative="1">
      <w:start w:val="1"/>
      <w:numFmt w:val="decimal"/>
      <w:lvlText w:val="%4."/>
      <w:lvlJc w:val="left"/>
      <w:pPr>
        <w:ind w:left="2880" w:hanging="360"/>
      </w:pPr>
    </w:lvl>
    <w:lvl w:ilvl="4" w:tplc="75615114" w:tentative="1">
      <w:start w:val="1"/>
      <w:numFmt w:val="lowerLetter"/>
      <w:lvlText w:val="%5."/>
      <w:lvlJc w:val="left"/>
      <w:pPr>
        <w:ind w:left="3600" w:hanging="360"/>
      </w:pPr>
    </w:lvl>
    <w:lvl w:ilvl="5" w:tplc="75615114" w:tentative="1">
      <w:start w:val="1"/>
      <w:numFmt w:val="lowerRoman"/>
      <w:lvlText w:val="%6."/>
      <w:lvlJc w:val="right"/>
      <w:pPr>
        <w:ind w:left="4320" w:hanging="180"/>
      </w:pPr>
    </w:lvl>
    <w:lvl w:ilvl="6" w:tplc="75615114" w:tentative="1">
      <w:start w:val="1"/>
      <w:numFmt w:val="decimal"/>
      <w:lvlText w:val="%7."/>
      <w:lvlJc w:val="left"/>
      <w:pPr>
        <w:ind w:left="5040" w:hanging="360"/>
      </w:pPr>
    </w:lvl>
    <w:lvl w:ilvl="7" w:tplc="75615114" w:tentative="1">
      <w:start w:val="1"/>
      <w:numFmt w:val="lowerLetter"/>
      <w:lvlText w:val="%8."/>
      <w:lvlJc w:val="left"/>
      <w:pPr>
        <w:ind w:left="5760" w:hanging="360"/>
      </w:pPr>
    </w:lvl>
    <w:lvl w:ilvl="8" w:tplc="75615114" w:tentative="1">
      <w:start w:val="1"/>
      <w:numFmt w:val="lowerRoman"/>
      <w:lvlText w:val="%9."/>
      <w:lvlJc w:val="right"/>
      <w:pPr>
        <w:ind w:left="6480" w:hanging="180"/>
      </w:pPr>
    </w:lvl>
  </w:abstractNum>
  <w:abstractNum w:abstractNumId="72108921">
    <w:multiLevelType w:val="hybridMultilevel"/>
    <w:lvl w:ilvl="0" w:tplc="361030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108921">
    <w:abstractNumId w:val="72108921"/>
  </w:num>
  <w:num w:numId="72108922">
    <w:abstractNumId w:val="721089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1685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