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Neofabraea malicorticis (PEZIMA)</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Neofabraea malicorticis (Pezicula malicorticis)</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Denmark (1992); Estonia (1992); Finland (2011); France (1992); Germany (1993); Ireland (1992); Italy (2016); Lithuania (1992); Netherlands (1992); Poland (1992); Sweden (1992)</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83026a3fbac7776ad" w:history="1">
        <w:r>
          <w:rPr>
            <w:color w:val="0200C9"/>
            <w:sz w:val="24"/>
            <w:szCs w:val="24"/>
          </w:rPr>
          <w:t xml:space="preserve">https://gd.eppo.int/</w:t>
        </w:r>
      </w:hyperlink>
      <w:r>
        <w:rPr>
          <w:color w:val="0200C9"/>
          <w:sz w:val="24"/>
          <w:szCs w:val="24"/>
        </w:rPr>
        <w:t xml:space="preserve">).</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Cydonia oblonga (CYDOB)</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Inspection for 'Pezicula malicorticis' recommended in EPPO Standard PM 4-27 Pathogen-tested material of Malus, Pyrus and Cydonia. However, when responding to the questionnaire, NL supported deregulation because of pathway. Evaluation continues on this criteria.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The disease is mostly reported from pome fruits, where it is one of the species involved in bull’s eye rot (post-harvest disease) (e.g. Cameldi et al., 2016). It is polyphagous on Rosaceae, important hosts are Malus sp. and Pyrus sp. (Ellis, 2001-2024). The Neofabraea complex includes Malus spp., quince (Cydonia oblonga), flowering quince (Chaenomeles japonica), peach (Prunus persica), serviceberry (Amelanchier pallida), apricot (P. armeniaca), plum (Prunus spp.), cherry (P. avium L.), hawthorn (Crataegus spp.), and mountain ash (Sorbus spp.) (Creemers, 2014; Kienholz, 1939; Verkley, 1999). The occurrence of N. malicorticis is associated with the disease symptoms on the west coast of the USA and Canada, and occasionally in Europe: Denmark, the Netherlands and Portugal (Verkley, 1999; cited in Köhl et al., 2018).</w:t>
      </w:r>
      <w:r>
        <w:rPr>
          <w:color w:val="F30000"/>
          <w:sz w:val="24"/>
          <w:szCs w:val="24"/>
        </w:rPr>
        <w:br/>
        <w:t xml:space="preserve">N. malicorticis causes anthracnose canker on apple trees and is found principally in more humid areas. It is an aggressive pathogen able to infect sound wood directly. The fungus survives as mycelium and conidia in branch cankers. Neofabraea species have also been reported to overwinter in mummified fruits, or in/on pruned wood, leaf litter, and on grass around the orchard (Köhl et al. 2018). New cankers appear in the autumn and reach full size in the spring. Acervuli first appear during late summer and autumn, about a year after infection. The cankers do not expand after the first year, but the anthracnose fungus can sporulate on dead bark for several years. Sporulation takes place during cool, moist weather. Conidia are exuded in a gelatinous matrix and dispersed by rain splashing. The sexual stage of the fungus is insignificant in the epidemiology of the disease (Creemers, 2017).</w:t>
      </w:r>
      <w:r>
        <w:rPr>
          <w:color w:val="F30000"/>
          <w:sz w:val="24"/>
          <w:szCs w:val="24"/>
        </w:rPr>
        <w:br/>
        <w:t xml:space="preserve">Sanitation is extremely important when trying to control apple anthracnose canker. All cankers should be pruned out and removed during winter pruning. Any new cankers that develop on limbs and trunks should also be pruned out as soon as they are discovered and removed from the orchard. Developing cankers often girdle 1-year-old wood. Therefore, any shoots that wilt or die suddenly should be removed as soon as they appear. Nursery trees should be examined carefully for symptoms of the disease at planting and again the following spring. Trees with cankers should be discarded (Creemers, 2017).</w:t>
      </w:r>
      <w:r>
        <w:rPr>
          <w:color w:val="F30000"/>
          <w:sz w:val="24"/>
          <w:szCs w:val="24"/>
        </w:rPr>
        <w:br/>
        <w:t xml:space="preserve">[In responses to the questionnaire, NL commented that the pest is 'airborne and widespread in nature'.]</w:t>
      </w:r>
      <w:r>
        <w:rPr>
          <w:color w:val="F30000"/>
          <w:sz w:val="24"/>
          <w:szCs w:val="24"/>
        </w:rPr>
        <w:br/>
        <w:t xml:space="preserve">The fruit SEWG considered that the pest was widespread in/around orchards and that plants for planting should not be considered as a significant pathway compared to natural spread.</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No data on quince.</w:t>
      </w:r>
      <w:r>
        <w:rPr>
          <w:color w:val="606060"/>
          <w:sz w:val="24"/>
          <w:szCs w:val="24"/>
        </w:rPr>
        <w:br/>
        <w:t xml:space="preserve">In responses to the questionnaire, NL commented that infection during pruning was only causing damage on weak plants.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considered to be a significant pathway compared to others.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Cameldi I, Pirondi A, Neri F, Collina M &amp; Mari M (2016). First report of apple bull’s eye rot caused by Neofabraea malicorticis in Italy. Plant Disease 100(12), 2532.</w:t>
      </w:r>
    </w:p>
    <w:p>
      <w:pPr>
        <w:numPr>
          <w:ilvl w:val="0"/>
          <w:numId w:val="1"/>
        </w:numPr>
        <w:spacing w:before="0" w:after="0" w:line="240" w:lineRule="auto"/>
        <w:jc w:val="left"/>
        <w:rPr>
          <w:color w:val="0200C9"/>
          <w:sz w:val="24"/>
          <w:szCs w:val="24"/>
        </w:rPr>
      </w:pPr>
      <w:r>
        <w:rPr>
          <w:color w:val="0200C9"/>
          <w:sz w:val="24"/>
          <w:szCs w:val="24"/>
        </w:rPr>
        <w:t xml:space="preserve">Creemers P (2014) Anthracnose canker and perennial canker. In Compendium of Apple and Pear Diseases and Pests 2nd edition (eds Sutton TB, Aldwinckle HS, Agnello AM&amp; Walgenbach JF). American Phytopathological Society, St Paul, MN, USA. pages 51-53.</w:t>
      </w:r>
    </w:p>
    <w:p>
      <w:pPr>
        <w:numPr>
          <w:ilvl w:val="0"/>
          <w:numId w:val="1"/>
        </w:numPr>
        <w:spacing w:before="0" w:after="0" w:line="240" w:lineRule="auto"/>
        <w:jc w:val="left"/>
        <w:rPr>
          <w:color w:val="0200C9"/>
          <w:sz w:val="24"/>
          <w:szCs w:val="24"/>
        </w:rPr>
      </w:pPr>
      <w:r>
        <w:rPr>
          <w:color w:val="0200C9"/>
          <w:sz w:val="24"/>
          <w:szCs w:val="24"/>
        </w:rPr>
        <w:t xml:space="preserve">Ellis WN (2001-2024). Plant parasites of Europe: leafminers, galls and fungi. </w:t>
      </w:r>
      <w:hyperlink r:id="rId26956a3fbac777b93" w:history="1">
        <w:r>
          <w:rPr>
            <w:color w:val="0200C9"/>
            <w:sz w:val="24"/>
            <w:szCs w:val="24"/>
          </w:rPr>
          <w:t xml:space="preserve">https://bladmineerders.nl/parasites/fungi/dikarya/ascomycota/pezizomycotina/leotiomycetes/leotiomycetidae/helotiales/dermateaceae/pezicula/pezicula-corticola/pezicula-malicorticis/</w:t>
        </w:r>
      </w:hyperlink>
      <w:r>
        <w:rPr>
          <w:color w:val="0200C9"/>
          <w:sz w:val="24"/>
          <w:szCs w:val="24"/>
        </w:rPr>
        <w:t xml:space="preserve"> (accessed 16/Aug/2024).</w:t>
      </w:r>
    </w:p>
    <w:p>
      <w:pPr>
        <w:numPr>
          <w:ilvl w:val="0"/>
          <w:numId w:val="1"/>
        </w:numPr>
        <w:spacing w:before="0" w:after="0" w:line="240" w:lineRule="auto"/>
        <w:jc w:val="left"/>
        <w:rPr>
          <w:color w:val="0200C9"/>
          <w:sz w:val="24"/>
          <w:szCs w:val="24"/>
        </w:rPr>
      </w:pPr>
      <w:r>
        <w:rPr>
          <w:color w:val="0200C9"/>
          <w:sz w:val="24"/>
          <w:szCs w:val="24"/>
        </w:rPr>
        <w:t xml:space="preserve">Gariepy TD, Rahe JE, Lévesque CA, Spotts RA, Sugar DL &amp; Henriquez JL (2005). Neofabraea species associated with bull's-eye rot and cankers of apple and pear in the Pacific Northwest. Canadian Journal of Plant Pathology 27(1), 118-124.</w:t>
      </w:r>
    </w:p>
    <w:p>
      <w:pPr>
        <w:numPr>
          <w:ilvl w:val="0"/>
          <w:numId w:val="1"/>
        </w:numPr>
        <w:spacing w:before="0" w:after="0" w:line="240" w:lineRule="auto"/>
        <w:jc w:val="left"/>
        <w:rPr>
          <w:color w:val="0200C9"/>
          <w:sz w:val="24"/>
          <w:szCs w:val="24"/>
        </w:rPr>
      </w:pPr>
      <w:r>
        <w:rPr>
          <w:color w:val="0200C9"/>
          <w:sz w:val="24"/>
          <w:szCs w:val="24"/>
        </w:rPr>
        <w:t xml:space="preserve">Kienholz JR (1939) Comparative study of the apple anthracnose and perennial canker fungi. Journal of Agricultural Research 59, 635-665.</w:t>
      </w:r>
    </w:p>
    <w:p>
      <w:pPr>
        <w:numPr>
          <w:ilvl w:val="0"/>
          <w:numId w:val="1"/>
        </w:numPr>
        <w:spacing w:before="0" w:after="0" w:line="240" w:lineRule="auto"/>
        <w:jc w:val="left"/>
        <w:rPr>
          <w:color w:val="0200C9"/>
          <w:sz w:val="24"/>
          <w:szCs w:val="24"/>
        </w:rPr>
      </w:pPr>
      <w:r>
        <w:rPr>
          <w:color w:val="0200C9"/>
          <w:sz w:val="24"/>
          <w:szCs w:val="24"/>
        </w:rPr>
        <w:t xml:space="preserve">Köhl J, Wenneker M, Groenenboom-de Haas BH, Anbergen R, Goossen-van de Geijn HM, Lombaers-van der Plas CH, Pinto FAMF &amp; Kastelein P (2018) Dynamics of post-harvest pathogens Neofabraea spp. and Cadophora spp. in plant residues in Dutch apple and pear orchards. Plant Pathology 67, 1264-1277.</w:t>
      </w:r>
    </w:p>
    <w:p>
      <w:pPr>
        <w:numPr>
          <w:ilvl w:val="0"/>
          <w:numId w:val="1"/>
        </w:numPr>
        <w:spacing w:before="0" w:after="0" w:line="240" w:lineRule="auto"/>
        <w:jc w:val="left"/>
        <w:rPr>
          <w:color w:val="0200C9"/>
          <w:sz w:val="24"/>
          <w:szCs w:val="24"/>
        </w:rPr>
      </w:pPr>
      <w:r>
        <w:rPr>
          <w:color w:val="0200C9"/>
          <w:sz w:val="24"/>
          <w:szCs w:val="24"/>
        </w:rPr>
        <w:t xml:space="preserve">Verkley GJM, 1999. A monograph of Pezicula and its anamorphs. Studies in Mycology 44, 1–176.</w:t>
      </w:r>
    </w:p>
    <w:p>
      <w:pPr>
        <w:pageBreakBefore w:val="on"/>
      </w:pPr>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Malus (1MABG)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Inspection for 'Pezicula malicorticis' recommended in EPPO Standard PM 4-27 Pathogen-tested material of Malus, Pyrus and Cydonia. However, when responding to the questionnaire, NL supported deregulation because of pathway. Evaluation continues on this criteria.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The disease is mostly reported from pome fruits, where it is one of the species involved in bull’s eye rot (post-harvest disease) (e.g. Cameldi et al., 2016). It is polyphagous on Rosaceae, important hosts are Malus sp. and Pyrus sp. (Ellis, 2001-2024). The Neofabraea complex includes Malus spp., quince (Cydonia oblonga), pear (Pyrus spp.), flowering quince (Chaenomeles japonica), peach (Prunus persica), serviceberry (Amelanchier pallida), apricot (P. armeniaca), plum (Prunus spp.), cherry (P. avium L.), hawthorn (Crataegus spp.), and mountain ash (Sorbus spp.) (Creemers, 2014; Gariepy et al., 2005; Kienholz, 1939; Verkley, 1999). The occurrence of N. malicorticis is associated with the disease symptoms on the west coast of the USA and Canada, and occasionally in Europe: Denmark, the Netherlands, Portugal and Italy (Verkley, 1999; cited in Köhl et al., 2018, Cameldi et al., 2016).</w:t>
      </w:r>
      <w:r>
        <w:rPr>
          <w:color w:val="F30000"/>
          <w:sz w:val="24"/>
          <w:szCs w:val="24"/>
        </w:rPr>
        <w:br/>
        <w:t xml:space="preserve">The occurrence of N. malicorticis is associated with anthracnose canker and bull’s eye rot on the west coast of the USA and Canada, and occasionally in Europe: Denmark, the Netherlands, Portugal and Italy (Verkley, 1999, cited in Köhl et al., 2018; Cameldi et al., 2016).</w:t>
      </w:r>
      <w:r>
        <w:rPr>
          <w:color w:val="F30000"/>
          <w:sz w:val="24"/>
          <w:szCs w:val="24"/>
        </w:rPr>
        <w:br/>
        <w:t xml:space="preserve">N. malicorticis causes anthracnose canker on apple trees and is found principally in more humid areas. It is an aggressive pathogen able to infect sound wood directly. The fungus survives as mycelium and conidia in branch cankers. Neofabraea species have also been reported to overwinter in mummified fruits, or in/on pruned wood, leaf litter, and on grass around the orchard (Köhl et al. 2018). New cankers appear in the autumn and reach full size in the spring. Acervuli first appear during late summer and autumn, about a year after infection. The cankers do not expand after the first year, but the anthracnose fungus can sporulate on dead bark for several years. Sporulation takes place during cool, moist weather. Conidia are exuded in a gelatinous matrix and dispersed by rain splashing. The sexual stage of the fungus is insignificant in the epidemiology of the disease (Creemers, 2017).</w:t>
      </w:r>
      <w:r>
        <w:rPr>
          <w:color w:val="F30000"/>
          <w:sz w:val="24"/>
          <w:szCs w:val="24"/>
        </w:rPr>
        <w:br/>
        <w:t xml:space="preserve">Sanitation is extremely important when trying to control apple anthracnose canker and perennial canker. All cankers should be pruned out and removed during winter pruning. Any new cankers that develop on limbs and trunks should also be pruned out as soon as they are discovered and removed from the orchard. Developing cankers often girdle 1-year-old wood. Therefore, any shoots that wilt or die suddenly should be removed as soon as they appear. Nursery trees should be examined carefully for symptoms of the disease at planting and again the following spring. Trees with cankers should be discarded (Creemers, 2017).</w:t>
      </w:r>
      <w:r>
        <w:rPr>
          <w:color w:val="F30000"/>
          <w:sz w:val="24"/>
          <w:szCs w:val="24"/>
        </w:rPr>
        <w:br/>
        <w:t xml:space="preserve">[In responses to the questionnaire, NL commented that the pest is 'airborne and widespread in nature'.]</w:t>
      </w:r>
      <w:r>
        <w:rPr>
          <w:color w:val="F30000"/>
          <w:sz w:val="24"/>
          <w:szCs w:val="24"/>
        </w:rPr>
        <w:br/>
        <w:t xml:space="preserve">The fruit SEWG considered that the pest was widespread in/around orchards and that plants for planting should not be considered as a significant pathway compared to natural spread.</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Damage is mainly reported from the Pacific Northwest of the USA, where this fungus is the main cause of anthracnose of apple and bull’s eye rot (post-harvest disease).</w:t>
      </w:r>
      <w:r>
        <w:rPr>
          <w:color w:val="606060"/>
          <w:sz w:val="24"/>
          <w:szCs w:val="24"/>
        </w:rPr>
        <w:br/>
        <w:t xml:space="preserve">In responses to the questionnaire, NL commented that infection during pruning was only causing damage on weak plants.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considered to be a significant pathway compared to others.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Cameldi I, Pirondi A, Neri F, Collina M &amp; Mari M (2016). First report of apple bull’s eye rot caused by Neofabraea malicorticis in Italy. Plant Disease 100(12), 2532.</w:t>
      </w:r>
    </w:p>
    <w:p>
      <w:pPr>
        <w:numPr>
          <w:ilvl w:val="0"/>
          <w:numId w:val="1"/>
        </w:numPr>
        <w:spacing w:before="0" w:after="0" w:line="240" w:lineRule="auto"/>
        <w:jc w:val="left"/>
        <w:rPr>
          <w:color w:val="0200C9"/>
          <w:sz w:val="24"/>
          <w:szCs w:val="24"/>
        </w:rPr>
      </w:pPr>
      <w:r>
        <w:rPr>
          <w:color w:val="0200C9"/>
          <w:sz w:val="24"/>
          <w:szCs w:val="24"/>
        </w:rPr>
        <w:t xml:space="preserve">Creemers P (2014) Anthracnose canker and perennial canker. In Compendium of Apple and Pear Diseases and Pests 2nd edition (eds Sutton TB, Aldwinckle HS, Agnello AM&amp; Walgenbach JF). American Phytopathological Society, St Paul, MN, USA. pages 51-53.</w:t>
      </w:r>
    </w:p>
    <w:p>
      <w:pPr>
        <w:numPr>
          <w:ilvl w:val="0"/>
          <w:numId w:val="1"/>
        </w:numPr>
        <w:spacing w:before="0" w:after="0" w:line="240" w:lineRule="auto"/>
        <w:jc w:val="left"/>
        <w:rPr>
          <w:color w:val="0200C9"/>
          <w:sz w:val="24"/>
          <w:szCs w:val="24"/>
        </w:rPr>
      </w:pPr>
      <w:r>
        <w:rPr>
          <w:color w:val="0200C9"/>
          <w:sz w:val="24"/>
          <w:szCs w:val="24"/>
        </w:rPr>
        <w:t xml:space="preserve">Ellis WN (2001-2024). Plant parasites of Europe: leafminers, galls and fungi. </w:t>
      </w:r>
      <w:hyperlink r:id="rId19226a3fbac7780d7" w:history="1">
        <w:r>
          <w:rPr>
            <w:color w:val="0200C9"/>
            <w:sz w:val="24"/>
            <w:szCs w:val="24"/>
          </w:rPr>
          <w:t xml:space="preserve">https://bladmineerders.nl/parasites/fungi/dikarya/ascomycota/pezizomycotina/leotiomycetes/leotiomycetidae/helotiales/dermateaceae/pezicula/pezicula-corticola/pezicula-malicorticis/</w:t>
        </w:r>
      </w:hyperlink>
      <w:r>
        <w:rPr>
          <w:color w:val="0200C9"/>
          <w:sz w:val="24"/>
          <w:szCs w:val="24"/>
        </w:rPr>
        <w:t xml:space="preserve"> (accessed 16/Aug/2024).</w:t>
      </w:r>
    </w:p>
    <w:p>
      <w:pPr>
        <w:numPr>
          <w:ilvl w:val="0"/>
          <w:numId w:val="1"/>
        </w:numPr>
        <w:spacing w:before="0" w:after="0" w:line="240" w:lineRule="auto"/>
        <w:jc w:val="left"/>
        <w:rPr>
          <w:color w:val="0200C9"/>
          <w:sz w:val="24"/>
          <w:szCs w:val="24"/>
        </w:rPr>
      </w:pPr>
      <w:r>
        <w:rPr>
          <w:color w:val="0200C9"/>
          <w:sz w:val="24"/>
          <w:szCs w:val="24"/>
        </w:rPr>
        <w:t xml:space="preserve">Gariepy TD, Rahe JE, Lévesque CA, Spotts RA, Sugar DL &amp; Henriquez JL (2005). Neofabraea species associated with bull's-eye rot and cankers of apple and pear in the Pacific Northwest. Canadian Journal of Plant Pathology 27(1), 118-124.</w:t>
      </w:r>
    </w:p>
    <w:p>
      <w:pPr>
        <w:numPr>
          <w:ilvl w:val="0"/>
          <w:numId w:val="1"/>
        </w:numPr>
        <w:spacing w:before="0" w:after="0" w:line="240" w:lineRule="auto"/>
        <w:jc w:val="left"/>
        <w:rPr>
          <w:color w:val="0200C9"/>
          <w:sz w:val="24"/>
          <w:szCs w:val="24"/>
        </w:rPr>
      </w:pPr>
      <w:r>
        <w:rPr>
          <w:color w:val="0200C9"/>
          <w:sz w:val="24"/>
          <w:szCs w:val="24"/>
        </w:rPr>
        <w:t xml:space="preserve">Kienholz JR (1939) Comparative study of the apple anthracnose and perennial canker fungi. Journal of Agricultural Research 59, 635-665.</w:t>
      </w:r>
    </w:p>
    <w:p>
      <w:pPr>
        <w:numPr>
          <w:ilvl w:val="0"/>
          <w:numId w:val="1"/>
        </w:numPr>
        <w:spacing w:before="0" w:after="0" w:line="240" w:lineRule="auto"/>
        <w:jc w:val="left"/>
        <w:rPr>
          <w:color w:val="0200C9"/>
          <w:sz w:val="24"/>
          <w:szCs w:val="24"/>
        </w:rPr>
      </w:pPr>
      <w:r>
        <w:rPr>
          <w:color w:val="0200C9"/>
          <w:sz w:val="24"/>
          <w:szCs w:val="24"/>
        </w:rPr>
        <w:t xml:space="preserve">Köhl J, Wenneker M, Groenenboom-de Haas BH, Anbergen R, Goossen-van de Geijn HM, Lombaers-van der Plas CH, Pinto FAMF &amp; Kastelein P (2018) Dynamics of post-harvest pathogens Neofabraea spp. and Cadophora spp. in plant residues in Dutch apple and pear orchards. Plant Pathology 67, 1264-1277.</w:t>
      </w:r>
    </w:p>
    <w:p>
      <w:pPr>
        <w:numPr>
          <w:ilvl w:val="0"/>
          <w:numId w:val="1"/>
        </w:numPr>
        <w:spacing w:before="0" w:after="0" w:line="240" w:lineRule="auto"/>
        <w:jc w:val="left"/>
        <w:rPr>
          <w:color w:val="0200C9"/>
          <w:sz w:val="24"/>
          <w:szCs w:val="24"/>
        </w:rPr>
      </w:pPr>
      <w:r>
        <w:rPr>
          <w:color w:val="0200C9"/>
          <w:sz w:val="24"/>
          <w:szCs w:val="24"/>
        </w:rPr>
        <w:t xml:space="preserve">Verkley GJM, 1999. A monograph of Pezicula and its anamorphs. Studies in Mycology 44, 1–176.</w:t>
      </w:r>
    </w:p>
    <w:p>
      <w:pPr>
        <w:pageBreakBefore w:val="on"/>
      </w:pPr>
      <w:r/>
    </w:p>
    <w:p>
      <w:pPr>
        <w:widowControl w:val="on"/>
        <w:pBdr/>
        <w:spacing w:before="0" w:after="0" w:line="240" w:lineRule="auto"/>
        <w:ind w:left="0" w:right="0"/>
        <w:jc w:val="left"/>
        <w:outlineLvl w:val="1"/>
      </w:pPr>
      <w:r>
        <w:rPr>
          <w:color w:val="000000"/>
          <w:sz w:val="24"/>
          <w:szCs w:val="24"/>
        </w:rPr>
        <w:t xml:space="preserve">HOST PLANT N°3: </w:t>
      </w:r>
      <w:r>
        <w:rPr>
          <w:color w:val="149613"/>
          <w:sz w:val="24"/>
          <w:szCs w:val="24"/>
        </w:rPr>
        <w:t xml:space="preserve">Pyrus (1PYUG)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Inspection for 'Pezicula malicorticis' recommended in EPPO Standard PM 4-27 Pathogen-tested material of Malus, Pyrus and Cydonia. However, when responding to the questionnaire, NL supported deregulation because of pathway. Evaluation continues on this criteria.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The disease is mostly reported from pome fruits, where it is one of the species involved in bull’s eye rot (post-harvest disease) (e.g. Cameldi et al., 2016). It is polyphagous on Rosaceae, important hosts are Malus sp. and Pyrus sp. (Ellis, 2001-2024). The Neofabraea complex include Malus spp., quince (Cydonia oblonga), pear (Pyrus spp.), flowering quince (Chaenomeles japonica), peach (Prunus persica), serviceberry (Amelanchier pallida), apricot (P. armeniaca), plum (Prunus spp.), cherry (P. avium L.), hawthorn (Crataegus spp.), and mountain ash (Sorbus spp.) (Creemers, 2014; Gariepy et al., 2005; Kienholz, 1939; Verkley, 1999). The occurrence of N. malicorticis is associated with the disease symptoms on the west coast of the USA and Canada, and occasionally in Europe: Denmark, the Netherlands, Portugal and Italy (Verkley, 1999; cited in Köhl et al., 2018, Cameldi et al., 2016).</w:t>
      </w:r>
      <w:r>
        <w:rPr>
          <w:color w:val="F30000"/>
          <w:sz w:val="24"/>
          <w:szCs w:val="24"/>
        </w:rPr>
        <w:br/>
        <w:t xml:space="preserve">The occurrence of N. malicorticis is associated with anthracnose canker and bull’s eye rot on the west coast of the USA and Canada, and occasionally in Europe: Denmark, the Netherlands, Portugal and Italy (Verkley, 1999, cited in Köhl et al., 2018; Cameldi et al., 2016).</w:t>
      </w:r>
      <w:r>
        <w:rPr>
          <w:color w:val="F30000"/>
          <w:sz w:val="24"/>
          <w:szCs w:val="24"/>
        </w:rPr>
        <w:br/>
        <w:t xml:space="preserve">N. malicorticis causes anthracnose canker on apple trees and is found principally in more humid areas. It is an aggressive pathogen able to infect sound wood directly. The fungus survives as mycelium and conidia in branch cankers. Neofabraea species have also been reported to overwinter in mummified fruits, or in/on pruned wood, leaf litter, and on grass around the orchard (Köhl et al. 2018). New cankers appear in the autumn and reach full size in the spring. Acervuli first appear during late summer and autumn, about a year after infection. The cankers do not expand after the first year, but the anthracnose fungus can sporulate on dead bark for several years. Sporulation takes place during cool, moist weather. Conidia are exuded in a gelatinous matrix and dispersed by rain splashing. The sexual stage of the fungus is insignificant in the epidemiology of the disease (Creemers, 2017).</w:t>
      </w:r>
      <w:r>
        <w:rPr>
          <w:color w:val="F30000"/>
          <w:sz w:val="24"/>
          <w:szCs w:val="24"/>
        </w:rPr>
        <w:br/>
        <w:t xml:space="preserve">Sanitation is extremely important when trying to control apple anthracnose canker and perennial canker. All cankers should be pruned out and removed during winter pruning. Any new cankers that develop on limbs and trunks should also be pruned out as soon as they are discovered and removed from the orchard. Developing cankers often girdle 1-year-old wood. Therefore, any shoots that wilt or die suddenly should be removed as soon as they appear. Nursery trees should be examined carefully for symptoms of the disease at planting and again the following spring. Trees with cankers should be discarded (Creemers, 2017).</w:t>
      </w:r>
      <w:r>
        <w:rPr>
          <w:color w:val="F30000"/>
          <w:sz w:val="24"/>
          <w:szCs w:val="24"/>
        </w:rPr>
        <w:br/>
        <w:t xml:space="preserve">[In responses to the questionnaire, NL commented that the pest is 'airborne and widespread in nature'.]</w:t>
      </w:r>
      <w:r>
        <w:rPr>
          <w:color w:val="F30000"/>
          <w:sz w:val="24"/>
          <w:szCs w:val="24"/>
        </w:rPr>
        <w:br/>
        <w:t xml:space="preserve">The fruit SEWG considered that the pest was widespread in/around orchards and that plants for planting should not be considered as a significant pathway compared to natural spread.</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In the United States (US), pear-growing regions of Washington and Oregon generally experience less than 5% annual crop loss resulting from bull’s eye rot; however, in some years over 50% of the Bosc pear crop is lost because of this post-harvest disease (Lennox et al. 2004; Gariepy et al., 2005).</w:t>
      </w:r>
      <w:r>
        <w:rPr>
          <w:color w:val="606060"/>
          <w:sz w:val="24"/>
          <w:szCs w:val="24"/>
        </w:rPr>
        <w:br/>
        <w:t xml:space="preserve">In responses to the questionnaire, NL commented that infection during pruning was only causing damage on weak plants.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considered to be a significant pathway compared to others.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Cameldi I, Pirondi A, Neri F, Collina M &amp; Mari M (2016). First report of apple bull’s eye rot caused by Neofabraea malicorticis in Italy. Plant Disease 100(12), 2532.</w:t>
      </w:r>
    </w:p>
    <w:p>
      <w:pPr>
        <w:numPr>
          <w:ilvl w:val="0"/>
          <w:numId w:val="1"/>
        </w:numPr>
        <w:spacing w:before="0" w:after="0" w:line="240" w:lineRule="auto"/>
        <w:jc w:val="left"/>
        <w:rPr>
          <w:color w:val="0200C9"/>
          <w:sz w:val="24"/>
          <w:szCs w:val="24"/>
        </w:rPr>
      </w:pPr>
      <w:r>
        <w:rPr>
          <w:color w:val="0200C9"/>
          <w:sz w:val="24"/>
          <w:szCs w:val="24"/>
        </w:rPr>
        <w:t xml:space="preserve">Creemers P (2014) Anthracnose canker and perennial canker. In Compendium of Apple and Pear Diseases and Pests 2nd edition (eds Sutton TB, Aldwinckle HS, Agnello AM&amp; Walgenbach JF). American Phytopathological Society, St Paul, MN, USA. pages 51-53.</w:t>
      </w:r>
    </w:p>
    <w:p>
      <w:pPr>
        <w:numPr>
          <w:ilvl w:val="0"/>
          <w:numId w:val="1"/>
        </w:numPr>
        <w:spacing w:before="0" w:after="0" w:line="240" w:lineRule="auto"/>
        <w:jc w:val="left"/>
        <w:rPr>
          <w:color w:val="0200C9"/>
          <w:sz w:val="24"/>
          <w:szCs w:val="24"/>
        </w:rPr>
      </w:pPr>
      <w:r>
        <w:rPr>
          <w:color w:val="0200C9"/>
          <w:sz w:val="24"/>
          <w:szCs w:val="24"/>
        </w:rPr>
        <w:t xml:space="preserve">Ellis WN (2001-2024). Plant parasites of Europe: leafminers, galls and fungi. </w:t>
      </w:r>
      <w:hyperlink r:id="rId31076a3fbac77c2d7" w:history="1">
        <w:r>
          <w:rPr>
            <w:color w:val="0200C9"/>
            <w:sz w:val="24"/>
            <w:szCs w:val="24"/>
          </w:rPr>
          <w:t xml:space="preserve">https://bladmineerders.nl/parasites/fungi/dikarya/ascomycota/pezizomycotina/leotiomycetes/leotiomycetidae/helotiales/dermateaceae/pezicula/pezicula-corticola/pezicula-malicorticis/</w:t>
        </w:r>
      </w:hyperlink>
      <w:r>
        <w:rPr>
          <w:color w:val="0200C9"/>
          <w:sz w:val="24"/>
          <w:szCs w:val="24"/>
        </w:rPr>
        <w:t xml:space="preserve"> (accessed 16/Aug/2024).</w:t>
      </w:r>
    </w:p>
    <w:p>
      <w:pPr>
        <w:numPr>
          <w:ilvl w:val="0"/>
          <w:numId w:val="1"/>
        </w:numPr>
        <w:spacing w:before="0" w:after="0" w:line="240" w:lineRule="auto"/>
        <w:jc w:val="left"/>
        <w:rPr>
          <w:color w:val="0200C9"/>
          <w:sz w:val="24"/>
          <w:szCs w:val="24"/>
        </w:rPr>
      </w:pPr>
      <w:r>
        <w:rPr>
          <w:color w:val="0200C9"/>
          <w:sz w:val="24"/>
          <w:szCs w:val="24"/>
        </w:rPr>
        <w:t xml:space="preserve">Gariepy TD, Rahe JE, Lévesque CA, Spotts RA, Sugar DL &amp; Henriquez JL (2005). Neofabraea species associated with bull's-eye rot and cankers of apple and pear in the Pacific Northwest. Canadian Journal of Plant Pathology 27(1), 118-124.</w:t>
      </w:r>
    </w:p>
    <w:p>
      <w:pPr>
        <w:numPr>
          <w:ilvl w:val="0"/>
          <w:numId w:val="1"/>
        </w:numPr>
        <w:spacing w:before="0" w:after="0" w:line="240" w:lineRule="auto"/>
        <w:jc w:val="left"/>
        <w:rPr>
          <w:color w:val="0200C9"/>
          <w:sz w:val="24"/>
          <w:szCs w:val="24"/>
        </w:rPr>
      </w:pPr>
      <w:r>
        <w:rPr>
          <w:color w:val="0200C9"/>
          <w:sz w:val="24"/>
          <w:szCs w:val="24"/>
        </w:rPr>
        <w:t xml:space="preserve">Kienholz JR (1939) Comparative study of the apple anthracnose and perennial canker fungi. Journal of Agricultural Research 59, 635-665.</w:t>
      </w:r>
    </w:p>
    <w:p>
      <w:pPr>
        <w:numPr>
          <w:ilvl w:val="0"/>
          <w:numId w:val="1"/>
        </w:numPr>
        <w:spacing w:before="0" w:after="0" w:line="240" w:lineRule="auto"/>
        <w:jc w:val="left"/>
        <w:rPr>
          <w:color w:val="0200C9"/>
          <w:sz w:val="24"/>
          <w:szCs w:val="24"/>
        </w:rPr>
      </w:pPr>
      <w:r>
        <w:rPr>
          <w:color w:val="0200C9"/>
          <w:sz w:val="24"/>
          <w:szCs w:val="24"/>
        </w:rPr>
        <w:t xml:space="preserve">Köhl J, Wenneker M, Groenenboom-de Haas BH, Anbergen R, Goossen-van de Geijn HM, Lombaers-van der Plas CH, Pinto FAMF &amp; Kastelein P (2018) Dynamics of post-harvest pathogens Neofabraea spp. and Cadophora spp. in plant residues in Dutch apple and pear orchards. Plant Pathology 67, 1264-1277.</w:t>
      </w:r>
    </w:p>
    <w:p>
      <w:pPr>
        <w:numPr>
          <w:ilvl w:val="0"/>
          <w:numId w:val="1"/>
        </w:numPr>
        <w:spacing w:before="0" w:after="0" w:line="240" w:lineRule="auto"/>
        <w:jc w:val="left"/>
        <w:rPr>
          <w:color w:val="0200C9"/>
          <w:sz w:val="24"/>
          <w:szCs w:val="24"/>
        </w:rPr>
      </w:pPr>
      <w:r>
        <w:rPr>
          <w:color w:val="0200C9"/>
          <w:sz w:val="24"/>
          <w:szCs w:val="24"/>
        </w:rPr>
        <w:t xml:space="preserve">Lennox CL, Spotts RA &amp; Booyse M (2004) Postharvest decay of d’Anjou pears from the Pacific Northwest and control with a thiabendazole drench. Plant Disease 88, 474–478.</w:t>
      </w:r>
    </w:p>
    <w:p>
      <w:pPr>
        <w:numPr>
          <w:ilvl w:val="0"/>
          <w:numId w:val="1"/>
        </w:numPr>
        <w:spacing w:before="0" w:after="0" w:line="240" w:lineRule="auto"/>
        <w:jc w:val="left"/>
        <w:rPr>
          <w:color w:val="0200C9"/>
          <w:sz w:val="24"/>
          <w:szCs w:val="24"/>
        </w:rPr>
      </w:pPr>
      <w:r>
        <w:rPr>
          <w:color w:val="0200C9"/>
          <w:sz w:val="24"/>
          <w:szCs w:val="24"/>
        </w:rPr>
        <w:t xml:space="preserve">Verkley GJM, 1999. A monograph of Pezicula and its anamorphs. Studies in Mycology 44, 1–176.</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5412668">
    <w:multiLevelType w:val="hybridMultilevel"/>
    <w:lvl w:ilvl="0" w:tplc="44657265">
      <w:start w:val="1"/>
      <w:numFmt w:val="decimal"/>
      <w:lvlText w:val="%1."/>
      <w:lvlJc w:val="left"/>
      <w:pPr>
        <w:ind w:left="720" w:hanging="360"/>
      </w:pPr>
    </w:lvl>
    <w:lvl w:ilvl="1" w:tplc="44657265" w:tentative="1">
      <w:start w:val="1"/>
      <w:numFmt w:val="lowerLetter"/>
      <w:lvlText w:val="%2."/>
      <w:lvlJc w:val="left"/>
      <w:pPr>
        <w:ind w:left="1440" w:hanging="360"/>
      </w:pPr>
    </w:lvl>
    <w:lvl w:ilvl="2" w:tplc="44657265" w:tentative="1">
      <w:start w:val="1"/>
      <w:numFmt w:val="lowerRoman"/>
      <w:lvlText w:val="%3."/>
      <w:lvlJc w:val="right"/>
      <w:pPr>
        <w:ind w:left="2160" w:hanging="180"/>
      </w:pPr>
    </w:lvl>
    <w:lvl w:ilvl="3" w:tplc="44657265" w:tentative="1">
      <w:start w:val="1"/>
      <w:numFmt w:val="decimal"/>
      <w:lvlText w:val="%4."/>
      <w:lvlJc w:val="left"/>
      <w:pPr>
        <w:ind w:left="2880" w:hanging="360"/>
      </w:pPr>
    </w:lvl>
    <w:lvl w:ilvl="4" w:tplc="44657265" w:tentative="1">
      <w:start w:val="1"/>
      <w:numFmt w:val="lowerLetter"/>
      <w:lvlText w:val="%5."/>
      <w:lvlJc w:val="left"/>
      <w:pPr>
        <w:ind w:left="3600" w:hanging="360"/>
      </w:pPr>
    </w:lvl>
    <w:lvl w:ilvl="5" w:tplc="44657265" w:tentative="1">
      <w:start w:val="1"/>
      <w:numFmt w:val="lowerRoman"/>
      <w:lvlText w:val="%6."/>
      <w:lvlJc w:val="right"/>
      <w:pPr>
        <w:ind w:left="4320" w:hanging="180"/>
      </w:pPr>
    </w:lvl>
    <w:lvl w:ilvl="6" w:tplc="44657265" w:tentative="1">
      <w:start w:val="1"/>
      <w:numFmt w:val="decimal"/>
      <w:lvlText w:val="%7."/>
      <w:lvlJc w:val="left"/>
      <w:pPr>
        <w:ind w:left="5040" w:hanging="360"/>
      </w:pPr>
    </w:lvl>
    <w:lvl w:ilvl="7" w:tplc="44657265" w:tentative="1">
      <w:start w:val="1"/>
      <w:numFmt w:val="lowerLetter"/>
      <w:lvlText w:val="%8."/>
      <w:lvlJc w:val="left"/>
      <w:pPr>
        <w:ind w:left="5760" w:hanging="360"/>
      </w:pPr>
    </w:lvl>
    <w:lvl w:ilvl="8" w:tplc="44657265" w:tentative="1">
      <w:start w:val="1"/>
      <w:numFmt w:val="lowerRoman"/>
      <w:lvlText w:val="%9."/>
      <w:lvlJc w:val="right"/>
      <w:pPr>
        <w:ind w:left="6480" w:hanging="180"/>
      </w:pPr>
    </w:lvl>
  </w:abstractNum>
  <w:abstractNum w:abstractNumId="45412667">
    <w:multiLevelType w:val="hybridMultilevel"/>
    <w:lvl w:ilvl="0" w:tplc="4464738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5412667">
    <w:abstractNumId w:val="45412667"/>
  </w:num>
  <w:num w:numId="45412668">
    <w:abstractNumId w:val="4541266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98403806" Type="http://schemas.microsoft.com/office/2011/relationships/commentsExtended" Target="commentsExtended.xml"/><Relationship Id="rId83026a3fbac7776ad" Type="http://schemas.openxmlformats.org/officeDocument/2006/relationships/hyperlink" Target="https://gd.eppo.int/" TargetMode="External"/><Relationship Id="rId26956a3fbac777b93" Type="http://schemas.openxmlformats.org/officeDocument/2006/relationships/hyperlink" Target="https://bladmineerders.nl/parasites/fungi/dikarya/ascomycota/pezizomycotina/leotiomycetes/leotiomycetidae/helotiales/dermateaceae/pezicula/pezicula-corticola/pezicula-malicorticis/" TargetMode="External"/><Relationship Id="rId19226a3fbac7780d7" Type="http://schemas.openxmlformats.org/officeDocument/2006/relationships/hyperlink" Target="https://bladmineerders.nl/parasites/fungi/dikarya/ascomycota/pezizomycotina/leotiomycetes/leotiomycetidae/helotiales/dermateaceae/pezicula/pezicula-corticola/pezicula-malicorticis/" TargetMode="External"/><Relationship Id="rId31076a3fbac77c2d7" Type="http://schemas.openxmlformats.org/officeDocument/2006/relationships/hyperlink" Target="https://bladmineerders.nl/parasites/fungi/dikarya/ascomycota/pezizomycotina/leotiomycetes/leotiomycetidae/helotiales/dermateaceae/pezicula/pezicula-corticola/pezicula-malicorticis/"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