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quince yellow blotch agent</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quince yellow blotch agent</w:t>
      </w:r>
      <w:r>
        <w:rPr>
          <w:color w:val="000000"/>
          <w:sz w:val="24"/>
          <w:szCs w:val="24"/>
          <w:u w:val="single"/>
        </w:rPr>
        <w:br/>
        <w:t xml:space="preserve">Pest category:</w:t>
      </w:r>
      <w:r>
        <w:rPr>
          <w:color w:val="000000"/>
          <w:sz w:val="24"/>
          <w:szCs w:val="24"/>
        </w:rPr>
        <w:t xml:space="preserve">
</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England and may even be confined to the tested cultivar (Posnette &amp; Cropley, 1958). Other authors indicate that apple rubbery wood might be the causal agent (Nemeth, 1986).</w:t>
      </w:r>
      <w:r>
        <w:rPr>
          <w:color w:val="F30000"/>
          <w:sz w:val="24"/>
          <w:szCs w:val="24"/>
        </w:rPr>
        <w:br/>
        <w:t xml:space="preserve">In the absence of proof for this causal agent, quince yellow blotch agent is the most appropriate name.</w:t>
      </w:r>
      <w:r>
        <w:rPr>
          <w:color w:val="F30000"/>
          <w:sz w:val="24"/>
          <w:szCs w:val="24"/>
        </w:rPr>
        <w:br/>
        <w:t xml:space="preserve">Field indexing using woody indexing (Jelkmann, 2004) would be needed for detection and identification.</w:t>
      </w:r>
      <w:r>
        <w:rPr>
          <w:color w:val="F30000"/>
          <w:sz w:val="24"/>
          <w:szCs w:val="24"/>
        </w:rPr>
        <w:br/>
        <w:t xml:space="preserve">Quince yellow blotch agent does not fulfill the requirement of identity and should therefore not be a RNQP.</w:t>
      </w:r>
      <w:r>
        <w:rPr>
          <w:color w:val="F30000"/>
          <w:sz w:val="24"/>
          <w:szCs w:val="24"/>
        </w:rPr>
        <w:br/>
        <w:t xml:space="preserve">[Remark: In the responses to the questionnaire, no country supported the recommendation for regulation of the agent as an RNQP. LT and NL supported its delisting from EU regulation, highlighting its unknown identity.]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'quince yellow blotch' recommended in EPPO Standard PM 4-27 Pathogen-tested material of Malus, Pyrus and Cydonia, for Pyrus and Cydonia.'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agent with no clear identity.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Jelkmann W (2004) Detection of virus and virus-like diseases of fruit trees: laboratory assays, bioassays and indicators. Acta Horticulturae 657, 575-596.</w:t>
      </w:r>
    </w:p>
    <w:p>
      <w:pPr>
        <w:numPr>
          <w:ilvl w:val="0"/>
          <w:numId w:val="1"/>
        </w:numPr>
        <w:spacing w:before="0" w:after="0" w:line="240" w:lineRule="auto"/>
        <w:jc w:val="left"/>
        <w:rPr>
          <w:color w:val="0200C9"/>
          <w:sz w:val="24"/>
          <w:szCs w:val="24"/>
        </w:rPr>
      </w:pPr>
      <w:r>
        <w:rPr>
          <w:color w:val="0200C9"/>
          <w:sz w:val="24"/>
          <w:szCs w:val="24"/>
        </w:rPr>
        <w:t xml:space="preserve">Nemeth M (1986) Quince yellow blotch virus in pear. In Virus, Mycoplasma and Rickettsia Diseases. Martinus Nijhoff Publishers, Dordrecht, The Netherlands (ed Nemeth M), pp 251-253.</w:t>
      </w:r>
    </w:p>
    <w:p>
      <w:pPr>
        <w:numPr>
          <w:ilvl w:val="0"/>
          <w:numId w:val="1"/>
        </w:numPr>
        <w:spacing w:before="0" w:after="0" w:line="240" w:lineRule="auto"/>
        <w:jc w:val="left"/>
        <w:rPr>
          <w:color w:val="0200C9"/>
          <w:sz w:val="24"/>
          <w:szCs w:val="24"/>
        </w:rPr>
      </w:pPr>
      <w:r>
        <w:rPr>
          <w:color w:val="0200C9"/>
          <w:sz w:val="24"/>
          <w:szCs w:val="24"/>
        </w:rPr>
        <w:t xml:space="preserve">Posnette AF &amp; Cropley R (1958) Quince indicators for pear viruses. Journal of Horticultural Science 33, 289-291.</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'quince yellow blotch' recommended in EPPO Standard PM 4-27 Pathogen-tested material of Malus, Pyrus and Cydonia, for Pyrus and Cydonia.'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agent with no clear identity.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Jelkmann W (2004) Detection of virus and virus-like diseases of fruit trees: laboratory assays, bioassays and indicators. Acta Horticulturae 657, 575-596.</w:t>
      </w:r>
    </w:p>
    <w:p>
      <w:pPr>
        <w:numPr>
          <w:ilvl w:val="0"/>
          <w:numId w:val="1"/>
        </w:numPr>
        <w:spacing w:before="0" w:after="0" w:line="240" w:lineRule="auto"/>
        <w:jc w:val="left"/>
        <w:rPr>
          <w:color w:val="0200C9"/>
          <w:sz w:val="24"/>
          <w:szCs w:val="24"/>
        </w:rPr>
      </w:pPr>
      <w:r>
        <w:rPr>
          <w:color w:val="0200C9"/>
          <w:sz w:val="24"/>
          <w:szCs w:val="24"/>
        </w:rPr>
        <w:t xml:space="preserve">Nemeth M (1986) Quince yellow blotch virus in pear. In Virus, Mycoplasma and Rickettsia Diseases. Martinus Nijhoff Publishers, Dordrecht, The Netherlands (ed Nemeth M), pp 251-253.</w:t>
      </w:r>
    </w:p>
    <w:p>
      <w:pPr>
        <w:numPr>
          <w:ilvl w:val="0"/>
          <w:numId w:val="1"/>
        </w:numPr>
        <w:spacing w:before="0" w:after="0" w:line="240" w:lineRule="auto"/>
        <w:jc w:val="left"/>
        <w:rPr>
          <w:color w:val="0200C9"/>
          <w:sz w:val="24"/>
          <w:szCs w:val="24"/>
        </w:rPr>
      </w:pPr>
      <w:r>
        <w:rPr>
          <w:color w:val="0200C9"/>
          <w:sz w:val="24"/>
          <w:szCs w:val="24"/>
        </w:rPr>
        <w:t xml:space="preserve">Posnette AF &amp; Cropley R (1958) Quince indicators for pear viruses. Journal of Horticultural Science 33, 289-291.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140639">
    <w:multiLevelType w:val="hybridMultilevel"/>
    <w:lvl w:ilvl="0" w:tplc="95528896">
      <w:start w:val="1"/>
      <w:numFmt w:val="decimal"/>
      <w:lvlText w:val="%1."/>
      <w:lvlJc w:val="left"/>
      <w:pPr>
        <w:ind w:left="720" w:hanging="360"/>
      </w:pPr>
    </w:lvl>
    <w:lvl w:ilvl="1" w:tplc="95528896" w:tentative="1">
      <w:start w:val="1"/>
      <w:numFmt w:val="lowerLetter"/>
      <w:lvlText w:val="%2."/>
      <w:lvlJc w:val="left"/>
      <w:pPr>
        <w:ind w:left="1440" w:hanging="360"/>
      </w:pPr>
    </w:lvl>
    <w:lvl w:ilvl="2" w:tplc="95528896" w:tentative="1">
      <w:start w:val="1"/>
      <w:numFmt w:val="lowerRoman"/>
      <w:lvlText w:val="%3."/>
      <w:lvlJc w:val="right"/>
      <w:pPr>
        <w:ind w:left="2160" w:hanging="180"/>
      </w:pPr>
    </w:lvl>
    <w:lvl w:ilvl="3" w:tplc="95528896" w:tentative="1">
      <w:start w:val="1"/>
      <w:numFmt w:val="decimal"/>
      <w:lvlText w:val="%4."/>
      <w:lvlJc w:val="left"/>
      <w:pPr>
        <w:ind w:left="2880" w:hanging="360"/>
      </w:pPr>
    </w:lvl>
    <w:lvl w:ilvl="4" w:tplc="95528896" w:tentative="1">
      <w:start w:val="1"/>
      <w:numFmt w:val="lowerLetter"/>
      <w:lvlText w:val="%5."/>
      <w:lvlJc w:val="left"/>
      <w:pPr>
        <w:ind w:left="3600" w:hanging="360"/>
      </w:pPr>
    </w:lvl>
    <w:lvl w:ilvl="5" w:tplc="95528896" w:tentative="1">
      <w:start w:val="1"/>
      <w:numFmt w:val="lowerRoman"/>
      <w:lvlText w:val="%6."/>
      <w:lvlJc w:val="right"/>
      <w:pPr>
        <w:ind w:left="4320" w:hanging="180"/>
      </w:pPr>
    </w:lvl>
    <w:lvl w:ilvl="6" w:tplc="95528896" w:tentative="1">
      <w:start w:val="1"/>
      <w:numFmt w:val="decimal"/>
      <w:lvlText w:val="%7."/>
      <w:lvlJc w:val="left"/>
      <w:pPr>
        <w:ind w:left="5040" w:hanging="360"/>
      </w:pPr>
    </w:lvl>
    <w:lvl w:ilvl="7" w:tplc="95528896" w:tentative="1">
      <w:start w:val="1"/>
      <w:numFmt w:val="lowerLetter"/>
      <w:lvlText w:val="%8."/>
      <w:lvlJc w:val="left"/>
      <w:pPr>
        <w:ind w:left="5760" w:hanging="360"/>
      </w:pPr>
    </w:lvl>
    <w:lvl w:ilvl="8" w:tplc="95528896" w:tentative="1">
      <w:start w:val="1"/>
      <w:numFmt w:val="lowerRoman"/>
      <w:lvlText w:val="%9."/>
      <w:lvlJc w:val="right"/>
      <w:pPr>
        <w:ind w:left="6480" w:hanging="180"/>
      </w:pPr>
    </w:lvl>
  </w:abstractNum>
  <w:abstractNum w:abstractNumId="83140638">
    <w:multiLevelType w:val="hybridMultilevel"/>
    <w:lvl w:ilvl="0" w:tplc="645910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140638">
    <w:abstractNumId w:val="83140638"/>
  </w:num>
  <w:num w:numId="83140639">
    <w:abstractNumId w:val="831406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219585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