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Neonectria ditissima (NECTGA)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Neonectria ditissima (Nectria galligena)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origin of the disease is unclear, but it was already known in Europe as apple canker before 1866, and is often referred to as European canker. The disease now occurs in almost all the apple-growing areas of the world (Smith et al., 1988). According to UK CAB International (1985) the disease has been reported in Austria, Belgium, Bulgaria, Denmark, Estonia, France, Germany, Greece, Hungary, Ireland, Italy, Lithuania, Netherlands, Poland, Portugal, Romania, Slovakia, Spain and Sweden. In addition to these countries, the UK Plant Health Risk Register (2021) also reports presence in Switzerland, Czech Republic, Faroe Islands, Iceland, Republic of North Macedonia, Norway, Russia and Ukraine.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 (Weber &amp; Borve, 2021).</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Cydonia oblonga is recorded as host of Neonectria ditissima, but no detailed records are available on impact of the fungus on quince (CAB abstract search 30/May/2024).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 specific data on impacts for Cydonia oblonga. However, C. oblonga is mainly produced to serve as rootstock of Malus, so the cross contamination is highly likely.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for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 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Scientific gap about role of ascospores in long distance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the role of ascospores for long distance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86016a7b26641f49f"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46216a7b26641f5f0"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the disease is not reported to be a major issue for walnut (Juglans regia) (CAB abstract search 30/May/2024). That could be due to the region walnut is produced: the largest producing countries of in-shell walnuts in Europe are France and Romania, followed by Greece, Germany, Spain and Italy (CBI, 2019). Climatic conditions favoring this disease have at least five months per year with moderate temperatures (&gt; 8 h at 11–16 °C) and a minimum number of days with rainfall (&gt; 30 %) for N. ditissima to cause severe canker problems. In the Northern hemisphere, these conditions are met mainly during the summer months, whereby latitudes above 52 ° are particularly at risk (Beresford &amp; Kim, 2011) – this does not coincide with the walnut producing regions of Europe.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data on impacts for Juglans regia. Regions where J. regia is produced generally do not meet the climatic conditions for this fungus to be developed. Indirect economic impact from J. regia to Malus is considered unlikely.</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on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85566a7b26641fbd1"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60296a7b26641fd14"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 known as European canker of apple and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canker is an important disease of apple. Symptoms include cankers surrounding wounds, girdling, necrotic branches and fruit rot and fall (RHS, 2024; Wenneker et al., 2017). Red perithecia, white conidia or white fruiting bodies on young shoots may also be present (NIAB, 2024). It can result in death of buds, shoots, spurs, and branches. Cankers and dieback of young shoots are particularly damaging in tree nurseries and during orchard establishment. In extreme cases, whole trees may have to be removed where a canker has girdled the main trunk.</w:t>
      </w:r>
      <w:r>
        <w:rPr>
          <w:color w:val="0200C9"/>
          <w:sz w:val="24"/>
          <w:szCs w:val="24"/>
        </w:rPr>
        <w:br/>
        <w:t xml:space="preserve">The Horticultural Development Company (HDC) notes that it is one of the most important diseases of apple and pear, as the losses due to the pathogen can occur at all stages of production from nursery to storage issues, with resultant rots causing losses of up to 10% (Saville, ?).</w:t>
      </w:r>
      <w:r>
        <w:rPr>
          <w:color w:val="0200C9"/>
          <w:sz w:val="24"/>
          <w:szCs w:val="24"/>
        </w:rPr>
        <w:br/>
        <w:t xml:space="preserve">Apple cultivars differ in their susceptibility to N. ditissima. For instance, whereas cv. Jonathan is considered as fairly resistant, cvs. Elstar and Jonagold are considered as moderately susceptible, and cvs. Kanzi and Gala as highly susceptible (Pedersen et al. 1994; Van de Weg et al. 1992; Palm et al. 2011; Garkava-Gustavsson et al. 2013; Weber 2014). For highly susceptible varieties, this disease can be a major production-limiting factor (Weber, 2014).</w:t>
      </w:r>
      <w:r>
        <w:rPr>
          <w:color w:val="0200C9"/>
          <w:sz w:val="24"/>
          <w:szCs w:val="24"/>
        </w:rPr>
        <w:br/>
        <w:t xml:space="preserve">[FI commented that there is no complete resistance available in apple cultivars, and the degree of resistance is environmentally influenced such that in poor weather conditions the resistance is compromised, as shown by practical experience]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present in Europe for over 100 years and in some regions very prevalent.</w:t>
      </w:r>
      <w:r>
        <w:rPr>
          <w:color w:val="0200C9"/>
          <w:sz w:val="24"/>
          <w:szCs w:val="24"/>
        </w:rPr>
        <w:br/>
        <w:t xml:space="preserve">The disease can be introduced in an orchard by infected propagation material, but the impact of disease in the orchard is highly dependent on cultivar and weather.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 However, experts considered that solution was more related to cultivar selection.</w:t>
      </w:r>
      <w:r>
        <w:rPr>
          <w:color w:val="606060"/>
          <w:sz w:val="24"/>
          <w:szCs w:val="24"/>
        </w:rPr>
        <w:br/>
        <w:br/>
        <w:t xml:space="preserve">From NIAB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 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Scientific gap about role of ascospores in long distance spread.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(lack of data on the role of ascospores for long distance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69866a7b26642326a"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Saville (?) The Horticultural Development Company. HDC. A review of our current knowledge of Neonectria ditissima and identification of future areas of research. Available: Neonectria ditissima reveiw_RJS.pdf (projectbluearchive.blob.core.windows.net). Accessed: 15/08/2024.</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Van der Scheer HAT (1980) Kanker bij vruchtbomen. Mededeling nr. 18, december 1980. Wilhelminadorp (Goes): Proefstation voor de Fruitteelt [in Dutch] 66 pages.</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63266a7b2664233e5"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 known as European canker of apple and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Neonectria ditissima is reported from pear, e.g. Goos (1975) reported that at certain companies 32% of pear trees were infected with the pathogen. Although infections of pear trees are occasionally observed in commercial orchards in Northwestern Europe, pear canker is in general much less severe than apple canker (Van der Scheer, 1980; Weber, 2014).</w:t>
      </w:r>
      <w:r>
        <w:rPr>
          <w:color w:val="F30000"/>
          <w:sz w:val="24"/>
          <w:szCs w:val="24"/>
        </w:rPr>
        <w:br/>
        <w:t xml:space="preserve">The Horticultural Development Company (HDC) notes that it is one of the most important diseases of apple and pear, as the losses due to the pathogen can occur at all stages of production from nursery to storage issues, with resultant rots causing losses of up to 10% (Saville,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data on impacts for Pyrus. Considering uncertainty on the main pathways, the Fruit SEWG recommended not to consider possible indirect economic impact from Pyrus to Malus.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on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33956a7b2664239f3"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Saville (?) The Horticultural Development Company. HDC. A review of our current knowledge of Neonectria ditissima and identification of future areas of research. Available: Neonectria ditissima reveiw_RJS.pdf (projectbluearchive.blob.core.windows.net). Accessed: 15/08/2024.</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der Scheer HAT (1980) Kanker bij vruchtbomen. Mededeling nr. 18, december 1980. Wilhelminadorp (Goes): Proefstation voor de Fruitteelt [in Dutch] 66 pages.</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17546a7b266423b5c"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188915">
    <w:multiLevelType w:val="hybridMultilevel"/>
    <w:lvl w:ilvl="0" w:tplc="31991039">
      <w:start w:val="1"/>
      <w:numFmt w:val="decimal"/>
      <w:lvlText w:val="%1."/>
      <w:lvlJc w:val="left"/>
      <w:pPr>
        <w:ind w:left="720" w:hanging="360"/>
      </w:pPr>
    </w:lvl>
    <w:lvl w:ilvl="1" w:tplc="31991039" w:tentative="1">
      <w:start w:val="1"/>
      <w:numFmt w:val="lowerLetter"/>
      <w:lvlText w:val="%2."/>
      <w:lvlJc w:val="left"/>
      <w:pPr>
        <w:ind w:left="1440" w:hanging="360"/>
      </w:pPr>
    </w:lvl>
    <w:lvl w:ilvl="2" w:tplc="31991039" w:tentative="1">
      <w:start w:val="1"/>
      <w:numFmt w:val="lowerRoman"/>
      <w:lvlText w:val="%3."/>
      <w:lvlJc w:val="right"/>
      <w:pPr>
        <w:ind w:left="2160" w:hanging="180"/>
      </w:pPr>
    </w:lvl>
    <w:lvl w:ilvl="3" w:tplc="31991039" w:tentative="1">
      <w:start w:val="1"/>
      <w:numFmt w:val="decimal"/>
      <w:lvlText w:val="%4."/>
      <w:lvlJc w:val="left"/>
      <w:pPr>
        <w:ind w:left="2880" w:hanging="360"/>
      </w:pPr>
    </w:lvl>
    <w:lvl w:ilvl="4" w:tplc="31991039" w:tentative="1">
      <w:start w:val="1"/>
      <w:numFmt w:val="lowerLetter"/>
      <w:lvlText w:val="%5."/>
      <w:lvlJc w:val="left"/>
      <w:pPr>
        <w:ind w:left="3600" w:hanging="360"/>
      </w:pPr>
    </w:lvl>
    <w:lvl w:ilvl="5" w:tplc="31991039" w:tentative="1">
      <w:start w:val="1"/>
      <w:numFmt w:val="lowerRoman"/>
      <w:lvlText w:val="%6."/>
      <w:lvlJc w:val="right"/>
      <w:pPr>
        <w:ind w:left="4320" w:hanging="180"/>
      </w:pPr>
    </w:lvl>
    <w:lvl w:ilvl="6" w:tplc="31991039" w:tentative="1">
      <w:start w:val="1"/>
      <w:numFmt w:val="decimal"/>
      <w:lvlText w:val="%7."/>
      <w:lvlJc w:val="left"/>
      <w:pPr>
        <w:ind w:left="5040" w:hanging="360"/>
      </w:pPr>
    </w:lvl>
    <w:lvl w:ilvl="7" w:tplc="31991039" w:tentative="1">
      <w:start w:val="1"/>
      <w:numFmt w:val="lowerLetter"/>
      <w:lvlText w:val="%8."/>
      <w:lvlJc w:val="left"/>
      <w:pPr>
        <w:ind w:left="5760" w:hanging="360"/>
      </w:pPr>
    </w:lvl>
    <w:lvl w:ilvl="8" w:tplc="31991039" w:tentative="1">
      <w:start w:val="1"/>
      <w:numFmt w:val="lowerRoman"/>
      <w:lvlText w:val="%9."/>
      <w:lvlJc w:val="right"/>
      <w:pPr>
        <w:ind w:left="6480" w:hanging="180"/>
      </w:pPr>
    </w:lvl>
  </w:abstractNum>
  <w:abstractNum w:abstractNumId="72188914">
    <w:multiLevelType w:val="hybridMultilevel"/>
    <w:lvl w:ilvl="0" w:tplc="833251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188914">
    <w:abstractNumId w:val="72188914"/>
  </w:num>
  <w:num w:numId="72188915">
    <w:abstractNumId w:val="721889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4096739" Type="http://schemas.microsoft.com/office/2011/relationships/commentsExtended" Target="commentsExtended.xml"/><Relationship Id="rId86016a7b26641f49f" Type="http://schemas.openxmlformats.org/officeDocument/2006/relationships/hyperlink" Target="https://www.cbi.eu/market-information/processed-fruit-vegetables-edible-nuts/walnuts#:~:text=The%20largest%20producing%20countries%20of,are%20France%2C%20Romania%20and%20Italy" TargetMode="External"/><Relationship Id="rId46216a7b26641f5f0" Type="http://schemas.openxmlformats.org/officeDocument/2006/relationships/hyperlink" Target="https://doi.org/10.1186/s43170-021-00024-z" TargetMode="External"/><Relationship Id="rId85566a7b26641fbd1" Type="http://schemas.openxmlformats.org/officeDocument/2006/relationships/hyperlink" Target="https://www.cbi.eu/market-information/processed-fruit-vegetables-edible-nuts/walnuts#:~:text=The%20largest%20producing%20countries%20of,are%20France%2C%20Romania%20and%20Italy" TargetMode="External"/><Relationship Id="rId60296a7b26641fd14" Type="http://schemas.openxmlformats.org/officeDocument/2006/relationships/hyperlink" Target="https://doi.org/10.1186/s43170-021-00024-z" TargetMode="External"/><Relationship Id="rId69866a7b26642326a" Type="http://schemas.openxmlformats.org/officeDocument/2006/relationships/hyperlink" Target="https://www.cbi.eu/market-information/processed-fruit-vegetables-edible-nuts/walnuts#:~:text=The%20largest%20producing%20countries%20of,are%20France%2C%20Romania%20and%20Italy" TargetMode="External"/><Relationship Id="rId63266a7b2664233e5" Type="http://schemas.openxmlformats.org/officeDocument/2006/relationships/hyperlink" Target="https://doi.org/10.1186/s43170-021-00024-z" TargetMode="External"/><Relationship Id="rId33956a7b2664239f3" Type="http://schemas.openxmlformats.org/officeDocument/2006/relationships/hyperlink" Target="https://www.cbi.eu/market-information/processed-fruit-vegetables-edible-nuts/walnuts#:~:text=The%20largest%20producing%20countries%20of,are%20France%2C%20Romania%20and%20Italy" TargetMode="External"/><Relationship Id="rId17546a7b266423b5c" Type="http://schemas.openxmlformats.org/officeDocument/2006/relationships/hyperlink" Target="https://doi.org/10.1186/s43170-021-00024-z"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