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Mycosphaerella maculiformis {Mycosphaerella maculiformis and M. punctiformis} (MYCOMC)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Mycosphaerella punctiformis (Mycosphaerella</w:t>
      </w:r>
      <w:r>
        <w:rPr>
          <w:color w:val="0200C9"/>
          <w:sz w:val="24"/>
          <w:szCs w:val="24"/>
        </w:rPr>
        <w:br/>
        <w:t xml:space="preserve">maculiformis)</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assessment focuses on M. maculiformis, originally listed in the EU Marketing Directive. The two species Mycosphaerella maculiformis and M. punctiformis have been considered in the past as synonyms in EPPO GD based on Index Fungorum. Now, EPPO GD is following Mycobank and the more recent publications by NL teams, considering these two species as different. M. punctiformis (now Ramularia endophylla) was re-characterized in 2004. M. punctiformis may also be a complex of species (Verkley et al., 2004). Both species may be conspecific. In responses to the questionnaire, FR commented that 'the causative agent is unknown and does not seem to be present in EU nurseries. There is very little information available on this disease.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Mycosphaerella maculiformis has been reported in Belgium (Sioen et al., 2016), Bulgaria (Filipova &amp; Georgieva 2018), Greece (Diamandis &amp; Perlerou, 2001), Hungary (Krenner, 1944), Italy (Raddi et al., 2019), Netherlands (Anonymous, 2024), Portugal (Branco et al, 2014), Slovakia (Juhasova, 1978) and Slovenia (Ogris &amp; Jurc, 2013).</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Castanea sativa (CSNSA)</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Plant: uncertainty about the role of this pathway.</w:t>
      </w:r>
      <w:r>
        <w:rPr>
          <w:color w:val="F30000"/>
          <w:sz w:val="24"/>
          <w:szCs w:val="24"/>
        </w:rPr>
        <w:br/>
        <w:t xml:space="preserve">Seed: no other Mycosphaerella spp. are seed transmitted.</w:t>
      </w:r>
      <w:r>
        <w:rPr>
          <w:color w:val="F30000"/>
          <w:sz w:val="24"/>
          <w:szCs w:val="24"/>
        </w:rPr>
        <w:br/>
        <w:t xml:space="preserve">Spores: yes</w:t>
      </w:r>
      <w:r>
        <w:rPr>
          <w:color w:val="F30000"/>
          <w:sz w:val="24"/>
          <w:szCs w:val="24"/>
        </w:rPr>
        <w:br/>
        <w:t xml:space="preserve">The chestnut tree’s most common disease is ‘leaf spot’ (Mycosphaerella maculiformis). The symptoms of the disease usually appear in June as tiny white spots on the leaves, which increase in size and turn brown over time. The pathogens, which spend the winter in the white spots of the fallen leaves, re-infect the new leaves during spring time. By the end of the summer, the spots cover the entire leaf, which ultimately turns yellow. If the weather is rainy and humid, and there is great temperature fluctuation, the infection is followed by defoliation. In case of a e.g. dry and warm August, the infected leaves roll up, the arteries twist, and the dead leaves dry on the tree until defoliates. In Hungary the disease occurs annually, although the extent of the damage varies from year to year (Szentiványi, ?). In rainy summers the disease spreads rapidly, resulting in premature defoliation (Raddi et al., 1991).</w:t>
      </w:r>
      <w:r>
        <w:rPr>
          <w:color w:val="F30000"/>
          <w:sz w:val="24"/>
          <w:szCs w:val="24"/>
        </w:rPr>
        <w:br/>
        <w:t xml:space="preserve">As is the case for other leaf spot diseases, the Fruit SEWG considered that infection will occur with spores from the surrounding and that consequently plants for planting was not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Mycosphaerella maculiformis has not been considered a destructive parasite. However, in recent years epidemics have created remarkable loss in quantity and also in nut quality. Favorable weather conditions, such as moist and warm periods in May-June, may cause outbreaks of the disease. Chestnut producers use heavy and frequent spraying to deal with the disease. The biology of the disease and the host-pathogen interaction are poorly understood. It was not a priority issue (Stephanos &amp; Vannacci, 2010).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Minor to 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Economic impact may not be acceptable. Although there are few reports of economic impacts, the reference suggests controls are being targeted to deal specifically with the pest.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Clear away affected leaves in autumn and burn them.</w:t>
      </w:r>
      <w:r>
        <w:rPr>
          <w:color w:val="606060"/>
          <w:sz w:val="24"/>
          <w:szCs w:val="24"/>
        </w:rPr>
        <w:br/>
        <w:t xml:space="preserve">Chemical control (Szentiványi, ?, Raddi et al., 1991)</w:t>
      </w:r>
      <w:r>
        <w:rPr>
          <w:color w:val="606060"/>
          <w:sz w:val="24"/>
          <w:szCs w:val="24"/>
        </w:rPr>
        <w:br/>
        <w:t xml:space="preserve">Choice of cultivar (Szentiványi,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Anonymous (2024) Vlekpuntkogeltje, Mycosphaerella maculiformis. NMV Verspreidingsatlas Paddenstoelen. </w:t>
      </w:r>
      <w:hyperlink r:id="rId40766a3fbab037b13" w:history="1">
        <w:r>
          <w:rPr>
            <w:color w:val="0200C9"/>
            <w:sz w:val="24"/>
            <w:szCs w:val="24"/>
          </w:rPr>
          <w:t xml:space="preserve">https://www.verspreidingsatlas.nl/0722190</w:t>
        </w:r>
      </w:hyperlink>
      <w:r>
        <w:rPr>
          <w:color w:val="0200C9"/>
          <w:sz w:val="24"/>
          <w:szCs w:val="24"/>
        </w:rPr>
        <w:t xml:space="preserve">; occurrence: extremely rare, substrate: fallen leaves, found between 1990-2024, before not found. [Dutch: Zeldzaamheid: uiterst zeldzaam, substraat: blad, gevallen].</w:t>
      </w:r>
    </w:p>
    <w:p>
      <w:pPr>
        <w:numPr>
          <w:ilvl w:val="0"/>
          <w:numId w:val="1"/>
        </w:numPr>
        <w:spacing w:before="0" w:after="0" w:line="240" w:lineRule="auto"/>
        <w:jc w:val="left"/>
        <w:rPr>
          <w:color w:val="0200C9"/>
          <w:sz w:val="24"/>
          <w:szCs w:val="24"/>
        </w:rPr>
      </w:pPr>
      <w:r>
        <w:rPr>
          <w:color w:val="0200C9"/>
          <w:sz w:val="24"/>
          <w:szCs w:val="24"/>
        </w:rPr>
        <w:t xml:space="preserve">Branco M, Bragança H, Sousa E &amp; Phillips AJ (2014) Pests and diseases in Portuguese forestry: current and new threats. Forest Context and Policies in Portugal: Present and Future Challenges, 117-154.</w:t>
      </w:r>
    </w:p>
    <w:p>
      <w:pPr>
        <w:numPr>
          <w:ilvl w:val="0"/>
          <w:numId w:val="1"/>
        </w:numPr>
        <w:spacing w:before="0" w:after="0" w:line="240" w:lineRule="auto"/>
        <w:jc w:val="left"/>
        <w:rPr>
          <w:color w:val="0200C9"/>
          <w:sz w:val="24"/>
          <w:szCs w:val="24"/>
        </w:rPr>
      </w:pPr>
      <w:r>
        <w:rPr>
          <w:color w:val="0200C9"/>
          <w:sz w:val="24"/>
          <w:szCs w:val="24"/>
        </w:rPr>
        <w:t xml:space="preserve">Diamandis S &amp; Perlerou C (2001) The mycoflora of the chestnut ecosystems in Greece. Forest Snow and Landscape Research 76(3), 499-504.</w:t>
      </w:r>
    </w:p>
    <w:p>
      <w:pPr>
        <w:numPr>
          <w:ilvl w:val="0"/>
          <w:numId w:val="1"/>
        </w:numPr>
        <w:spacing w:before="0" w:after="0" w:line="240" w:lineRule="auto"/>
        <w:jc w:val="left"/>
        <w:rPr>
          <w:color w:val="0200C9"/>
          <w:sz w:val="24"/>
          <w:szCs w:val="24"/>
        </w:rPr>
      </w:pPr>
      <w:r>
        <w:rPr>
          <w:color w:val="0200C9"/>
          <w:sz w:val="24"/>
          <w:szCs w:val="24"/>
        </w:rPr>
        <w:t xml:space="preserve">Filipova E &amp; Georgieva M (2018) Complex of fungal pathogens established on Castanea sativa Mill. in Bulgaria. Poster at conference: Conference "Young Researchers and Contemporary Science Challenges“ University of Forestry, Sofia.</w:t>
      </w:r>
    </w:p>
    <w:p>
      <w:pPr>
        <w:numPr>
          <w:ilvl w:val="0"/>
          <w:numId w:val="1"/>
        </w:numPr>
        <w:spacing w:before="0" w:after="0" w:line="240" w:lineRule="auto"/>
        <w:jc w:val="left"/>
        <w:rPr>
          <w:color w:val="0200C9"/>
          <w:sz w:val="24"/>
          <w:szCs w:val="24"/>
        </w:rPr>
      </w:pPr>
      <w:r>
        <w:rPr>
          <w:color w:val="0200C9"/>
          <w:sz w:val="24"/>
          <w:szCs w:val="24"/>
        </w:rPr>
        <w:t xml:space="preserve">Stephanos D &amp; Vannacci G (2010) Diseases of sweet chestnut research: state of the art and future priorities. In Chestnut (Castanea sativa): a multipurpose European tree. Workshop procceedings- Brussels 30 Sept - 01 Oct 2010. 18-23.</w:t>
      </w:r>
    </w:p>
    <w:p>
      <w:pPr>
        <w:numPr>
          <w:ilvl w:val="0"/>
          <w:numId w:val="1"/>
        </w:numPr>
        <w:spacing w:before="0" w:after="0" w:line="240" w:lineRule="auto"/>
        <w:jc w:val="left"/>
        <w:rPr>
          <w:color w:val="0200C9"/>
          <w:sz w:val="24"/>
          <w:szCs w:val="24"/>
        </w:rPr>
      </w:pPr>
      <w:r>
        <w:rPr>
          <w:color w:val="0200C9"/>
          <w:sz w:val="24"/>
          <w:szCs w:val="24"/>
        </w:rPr>
        <w:t xml:space="preserve">Juhasova G (1978) Evaluation of the health of chestnut (Castanea sativa) in Slovakia. Acta Dendrobiologica 251(1/2), 253-291.</w:t>
      </w:r>
    </w:p>
    <w:p>
      <w:pPr>
        <w:numPr>
          <w:ilvl w:val="0"/>
          <w:numId w:val="1"/>
        </w:numPr>
        <w:spacing w:before="0" w:after="0" w:line="240" w:lineRule="auto"/>
        <w:jc w:val="left"/>
        <w:rPr>
          <w:color w:val="0200C9"/>
          <w:sz w:val="24"/>
          <w:szCs w:val="24"/>
        </w:rPr>
      </w:pPr>
      <w:r>
        <w:rPr>
          <w:color w:val="0200C9"/>
          <w:sz w:val="24"/>
          <w:szCs w:val="24"/>
        </w:rPr>
        <w:t xml:space="preserve">Krenner JA (1944) Studien aus dem Gebiete der mikroskopischen Pilze. II. Die Cylindrosporiose der Edelkastanie. Der Ursprung der Pilze [Studies in the field of microscopic fungi. II. Cylindrosporiosis of the Sweet Chestnut. The origin of the fungi]. Botanikai Közlemények 41 (3-5), 115-141.</w:t>
      </w:r>
    </w:p>
    <w:p>
      <w:pPr>
        <w:numPr>
          <w:ilvl w:val="0"/>
          <w:numId w:val="1"/>
        </w:numPr>
        <w:spacing w:before="0" w:after="0" w:line="240" w:lineRule="auto"/>
        <w:jc w:val="left"/>
        <w:rPr>
          <w:color w:val="0200C9"/>
          <w:sz w:val="24"/>
          <w:szCs w:val="24"/>
        </w:rPr>
      </w:pPr>
      <w:r>
        <w:rPr>
          <w:color w:val="0200C9"/>
          <w:sz w:val="24"/>
          <w:szCs w:val="24"/>
        </w:rPr>
        <w:t xml:space="preserve">Ogris N &amp; Jurc D (2013) Tree diseases determined by the reporting, prognostic and diagnostic service for forests in Slovenia 1982-2012. Acta Silvae et Ligni 102, 31-42.</w:t>
      </w:r>
    </w:p>
    <w:p>
      <w:pPr>
        <w:numPr>
          <w:ilvl w:val="0"/>
          <w:numId w:val="1"/>
        </w:numPr>
        <w:spacing w:before="0" w:after="0" w:line="240" w:lineRule="auto"/>
        <w:jc w:val="left"/>
        <w:rPr>
          <w:color w:val="0200C9"/>
          <w:sz w:val="24"/>
          <w:szCs w:val="24"/>
        </w:rPr>
      </w:pPr>
      <w:r>
        <w:rPr>
          <w:color w:val="0200C9"/>
          <w:sz w:val="24"/>
          <w:szCs w:val="24"/>
        </w:rPr>
        <w:t xml:space="preserve">Raddi P, Capretti P &amp; Tiberi R. (1991) Diseases and insect pests in forest nurseries in Italy. IUFRO Working Party 82.07-09 (Diseases and Insects in Forest Nurseries), 7, 69-77.</w:t>
      </w:r>
    </w:p>
    <w:p>
      <w:pPr>
        <w:numPr>
          <w:ilvl w:val="0"/>
          <w:numId w:val="1"/>
        </w:numPr>
        <w:spacing w:before="0" w:after="0" w:line="240" w:lineRule="auto"/>
        <w:jc w:val="left"/>
        <w:rPr>
          <w:color w:val="0200C9"/>
          <w:sz w:val="24"/>
          <w:szCs w:val="24"/>
        </w:rPr>
      </w:pPr>
      <w:r>
        <w:rPr>
          <w:color w:val="0200C9"/>
          <w:sz w:val="24"/>
          <w:szCs w:val="24"/>
        </w:rPr>
        <w:t xml:space="preserve">Sioen G, Verschelde P &amp; Roskam P (2016) Bosvitaliteitsinventaris 2016, Resultaten uit het bosvitaliteitsmeetnet (Level 1). Page 45. </w:t>
      </w:r>
      <w:hyperlink r:id="rId92956a3fbab037c18" w:history="1">
        <w:r>
          <w:rPr>
            <w:color w:val="0200C9"/>
            <w:sz w:val="24"/>
            <w:szCs w:val="24"/>
          </w:rPr>
          <w:t xml:space="preserve">https://purews.inbo.be/ws/portalfiles/portal/12937745/Sioen_etal_2017_Bosvitaliteitsinventaris2016.pdf</w:t>
        </w:r>
      </w:hyperlink>
    </w:p>
    <w:p>
      <w:pPr>
        <w:numPr>
          <w:ilvl w:val="0"/>
          <w:numId w:val="1"/>
        </w:numPr>
        <w:spacing w:before="0" w:after="0" w:line="240" w:lineRule="auto"/>
        <w:jc w:val="left"/>
        <w:rPr>
          <w:color w:val="0200C9"/>
          <w:sz w:val="24"/>
          <w:szCs w:val="24"/>
        </w:rPr>
      </w:pPr>
      <w:r>
        <w:rPr>
          <w:color w:val="0200C9"/>
          <w:sz w:val="24"/>
          <w:szCs w:val="24"/>
        </w:rPr>
        <w:t xml:space="preserve">Szentiványi, P (?) The pest control of the chestnut tree. Website of Sharkpoint.cc (Accessed 22/Mar/2024). </w:t>
      </w:r>
      <w:hyperlink r:id="rId26396a3fbab037c3f" w:history="1">
        <w:r>
          <w:rPr>
            <w:color w:val="0200C9"/>
            <w:sz w:val="24"/>
            <w:szCs w:val="24"/>
          </w:rPr>
          <w:t xml:space="preserve">http://www.sarkpont.hu/webset32</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340183">
    <w:multiLevelType w:val="hybridMultilevel"/>
    <w:lvl w:ilvl="0" w:tplc="29711940">
      <w:start w:val="1"/>
      <w:numFmt w:val="decimal"/>
      <w:lvlText w:val="%1."/>
      <w:lvlJc w:val="left"/>
      <w:pPr>
        <w:ind w:left="720" w:hanging="360"/>
      </w:pPr>
    </w:lvl>
    <w:lvl w:ilvl="1" w:tplc="29711940" w:tentative="1">
      <w:start w:val="1"/>
      <w:numFmt w:val="lowerLetter"/>
      <w:lvlText w:val="%2."/>
      <w:lvlJc w:val="left"/>
      <w:pPr>
        <w:ind w:left="1440" w:hanging="360"/>
      </w:pPr>
    </w:lvl>
    <w:lvl w:ilvl="2" w:tplc="29711940" w:tentative="1">
      <w:start w:val="1"/>
      <w:numFmt w:val="lowerRoman"/>
      <w:lvlText w:val="%3."/>
      <w:lvlJc w:val="right"/>
      <w:pPr>
        <w:ind w:left="2160" w:hanging="180"/>
      </w:pPr>
    </w:lvl>
    <w:lvl w:ilvl="3" w:tplc="29711940" w:tentative="1">
      <w:start w:val="1"/>
      <w:numFmt w:val="decimal"/>
      <w:lvlText w:val="%4."/>
      <w:lvlJc w:val="left"/>
      <w:pPr>
        <w:ind w:left="2880" w:hanging="360"/>
      </w:pPr>
    </w:lvl>
    <w:lvl w:ilvl="4" w:tplc="29711940" w:tentative="1">
      <w:start w:val="1"/>
      <w:numFmt w:val="lowerLetter"/>
      <w:lvlText w:val="%5."/>
      <w:lvlJc w:val="left"/>
      <w:pPr>
        <w:ind w:left="3600" w:hanging="360"/>
      </w:pPr>
    </w:lvl>
    <w:lvl w:ilvl="5" w:tplc="29711940" w:tentative="1">
      <w:start w:val="1"/>
      <w:numFmt w:val="lowerRoman"/>
      <w:lvlText w:val="%6."/>
      <w:lvlJc w:val="right"/>
      <w:pPr>
        <w:ind w:left="4320" w:hanging="180"/>
      </w:pPr>
    </w:lvl>
    <w:lvl w:ilvl="6" w:tplc="29711940" w:tentative="1">
      <w:start w:val="1"/>
      <w:numFmt w:val="decimal"/>
      <w:lvlText w:val="%7."/>
      <w:lvlJc w:val="left"/>
      <w:pPr>
        <w:ind w:left="5040" w:hanging="360"/>
      </w:pPr>
    </w:lvl>
    <w:lvl w:ilvl="7" w:tplc="29711940" w:tentative="1">
      <w:start w:val="1"/>
      <w:numFmt w:val="lowerLetter"/>
      <w:lvlText w:val="%8."/>
      <w:lvlJc w:val="left"/>
      <w:pPr>
        <w:ind w:left="5760" w:hanging="360"/>
      </w:pPr>
    </w:lvl>
    <w:lvl w:ilvl="8" w:tplc="29711940" w:tentative="1">
      <w:start w:val="1"/>
      <w:numFmt w:val="lowerRoman"/>
      <w:lvlText w:val="%9."/>
      <w:lvlJc w:val="right"/>
      <w:pPr>
        <w:ind w:left="6480" w:hanging="180"/>
      </w:pPr>
    </w:lvl>
  </w:abstractNum>
  <w:abstractNum w:abstractNumId="96340182">
    <w:multiLevelType w:val="hybridMultilevel"/>
    <w:lvl w:ilvl="0" w:tplc="653132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340182">
    <w:abstractNumId w:val="96340182"/>
  </w:num>
  <w:num w:numId="96340183">
    <w:abstractNumId w:val="9634018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9655530" Type="http://schemas.microsoft.com/office/2011/relationships/commentsExtended" Target="commentsExtended.xml"/><Relationship Id="rId40766a3fbab037b13" Type="http://schemas.openxmlformats.org/officeDocument/2006/relationships/hyperlink" Target="https://www.verspreidingsatlas.nl/0722190" TargetMode="External"/><Relationship Id="rId92956a3fbab037c18" Type="http://schemas.openxmlformats.org/officeDocument/2006/relationships/hyperlink" Target="https://purews.inbo.be/ws/portalfiles/portal/12937745/Sioen_etal_2017_Bosvitaliteitsinventaris2016.pdf" TargetMode="External"/><Relationship Id="rId26396a3fbab037c3f" Type="http://schemas.openxmlformats.org/officeDocument/2006/relationships/hyperlink" Target="http://www.sarkpont.hu/webset3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