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Vine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attenuatus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vectors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attenuatus has an extensive host range, including Fragaria, Populus, Prunus, Pyrus and Vitis (CABI, 2021; Kornobis,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606060"/>
          <w:sz w:val="24"/>
          <w:szCs w:val="24"/>
        </w:rPr>
        <w:br/>
        <w:t xml:space="preserve">In Spain, L. attenuatus is widely distributed (Mansilla et al., 2006), mainly in orchards (Arias &amp; Andrés, 1989), reported from Andalucia, Castilla y Leon, Extremadura, Madrid and Valencia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attenuatus is reported to vector TBRV (Taylor &amp; Brown, 1997), and under experimental conditions RRV (Taylor &amp; Murant, 1969).</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6456a3fc2bfd719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the experts considered that plants for planting may be moved with soil. Regarding the widespread criteria, PT commented that the pest was not detected in its country. 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attenuatus is reported to vector tomato black ring virus (TBRV) (Taylor &amp; Brown, 1997), and under experimental conditions raspberry ringspot virus (RRV) (Taylor &amp; Murant, 1969).</w:t>
      </w:r>
      <w:r>
        <w:rPr>
          <w:color w:val="F30000"/>
          <w:sz w:val="24"/>
          <w:szCs w:val="24"/>
        </w:rPr>
        <w:br/>
        <w:t xml:space="preserve">Kornobis (2021) reports that L. attenuatus populations were associated with Populus alba in Poland. However, no indication is given in this publication on damages and no background information on how the nematodes were exactly isolated from Populus.</w:t>
      </w:r>
      <w:r>
        <w:rPr>
          <w:color w:val="F30000"/>
          <w:sz w:val="24"/>
          <w:szCs w:val="24"/>
        </w:rPr>
        <w:br/>
        <w:t xml:space="preserve">Although there is evidence that L. attenuatus has been isolated from the rhizosphere of poplars and that the transmission of viruses is likely due to its sucking activity, there is insufficient evidence that TBRV occurs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economic impact on poplar by the nematode or by tomato black ring virus (TBRV).</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7086a3fc2bfd775d"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3756a3fc2bfd7d20"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26596a3fc2bfd857f"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nematodes was very vulnerable. Even when plants for planting are cultivated in the field, new substrate is generally used for repotting. The substrate used is most often cleaned/steamed, bought from professional operators, and the risk that these nematode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8086a3fc2bfd8b3c"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4396a3fc2bfd913e"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3906a3fc2bfd96ca"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P. persica is reported as a host plant (Arias, 1983; Arias &amp; Andrés).</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67466a3fc2bfd9d0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8406a3fc2bfda2c8"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attenuatus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Rubus is also listed as a host plant (Arias et al., 1985).</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73596a3fc2bfda899"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Arias et al. (1985) lists Vitis vinefera as a host plant.</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L. attenuatus is reported to vector Tomato black ring virus (TBRV) (Harrison, 1964; Taylor &amp; Brown, 1997), and under experimental conditions of Raspberry ringspot virus (RRV) (Taylor &amp; Murant, 1969).</w:t>
      </w:r>
      <w:r>
        <w:rPr>
          <w:color w:val="606060"/>
          <w:sz w:val="24"/>
          <w:szCs w:val="24"/>
        </w:rPr>
        <w:br/>
        <w:t xml:space="preserve">TBRV, Arabis mosaic virus (AMV), RRV and Strawberry latent ringspot virus (SLRV) are reported from this host (Fera internal records).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with nematicides is lacking for viticulture (e.g. no approved products in DE). Therefore, only preventive, indirect measures can be considered. In vine nurseries, the problem can be solved by moving to a nematode-free area that has not been used for viticulture. Otherwise, especially if virus symptoms have appeared in old vines, the following measures should be carried out before planting new productive vineyards:</w:t>
      </w:r>
      <w:r>
        <w:rPr>
          <w:color w:val="606060"/>
          <w:sz w:val="24"/>
          <w:szCs w:val="24"/>
        </w:rPr>
        <w:br/>
        <w:t xml:space="preserve">- When uprooting old plants, remove as much as possible the vines and root residues</w:t>
      </w:r>
      <w:r>
        <w:rPr>
          <w:color w:val="606060"/>
          <w:sz w:val="24"/>
          <w:szCs w:val="24"/>
        </w:rPr>
        <w:br/>
        <w:t xml:space="preserve">- Perform intensive, deep tillage after uprooting; this is more likely to damage nematodes than deep loosening alone</w:t>
      </w:r>
      <w:r>
        <w:rPr>
          <w:color w:val="606060"/>
          <w:sz w:val="24"/>
          <w:szCs w:val="24"/>
        </w:rPr>
        <w:br/>
        <w:t xml:space="preserve">- Apply a fallow period of at least 5 years, avoiding natural greening, as the nematodes can also reproduce on these plants. Black fallow would provide a better efficacy. As this does not make sense for viticultural and ecological reasons, non-host plants should be used for revegetation e.g. oil radish, mustard, alfalfa, bokhara clover or bitter lupine (source: </w:t>
      </w:r>
      <w:hyperlink r:id="rId45636a3fc2bfdace2" w:history="1">
        <w:r>
          <w:rPr>
            <w:color w:val="606060"/>
            <w:sz w:val="24"/>
            <w:szCs w:val="24"/>
          </w:rPr>
          <w:t xml:space="preserve">https://vitipendium.de/Virus%C3%BCbertragende_Nematoden_im_Weinbau</w:t>
        </w:r>
      </w:hyperlink>
      <w:r>
        <w:rPr>
          <w:color w:val="606060"/>
          <w:sz w:val="24"/>
          <w:szCs w:val="24"/>
        </w:rPr>
        <w:t xml:space="preser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6116a3fc2bfdae5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 (4), pp. 544-550. </w:t>
      </w:r>
      <w:hyperlink r:id="rId65576a3fc2bfdae92" w:history="1">
        <w:r>
          <w:rPr>
            <w:color w:val="0200C9"/>
            <w:sz w:val="24"/>
            <w:szCs w:val="24"/>
          </w:rPr>
          <w:t xml:space="preserve">https://doi.org/10.1016/0042-6822</w:t>
        </w:r>
      </w:hyperlink>
      <w:r>
        <w:rPr>
          <w:color w:val="0200C9"/>
          <w:sz w:val="24"/>
          <w:szCs w:val="24"/>
        </w:rPr>
        <w:t xml:space="preserve">(64)90075-3</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40726">
    <w:multiLevelType w:val="hybridMultilevel"/>
    <w:lvl w:ilvl="0" w:tplc="31057625">
      <w:start w:val="1"/>
      <w:numFmt w:val="decimal"/>
      <w:lvlText w:val="%1."/>
      <w:lvlJc w:val="left"/>
      <w:pPr>
        <w:ind w:left="720" w:hanging="360"/>
      </w:pPr>
    </w:lvl>
    <w:lvl w:ilvl="1" w:tplc="31057625" w:tentative="1">
      <w:start w:val="1"/>
      <w:numFmt w:val="lowerLetter"/>
      <w:lvlText w:val="%2."/>
      <w:lvlJc w:val="left"/>
      <w:pPr>
        <w:ind w:left="1440" w:hanging="360"/>
      </w:pPr>
    </w:lvl>
    <w:lvl w:ilvl="2" w:tplc="31057625" w:tentative="1">
      <w:start w:val="1"/>
      <w:numFmt w:val="lowerRoman"/>
      <w:lvlText w:val="%3."/>
      <w:lvlJc w:val="right"/>
      <w:pPr>
        <w:ind w:left="2160" w:hanging="180"/>
      </w:pPr>
    </w:lvl>
    <w:lvl w:ilvl="3" w:tplc="31057625" w:tentative="1">
      <w:start w:val="1"/>
      <w:numFmt w:val="decimal"/>
      <w:lvlText w:val="%4."/>
      <w:lvlJc w:val="left"/>
      <w:pPr>
        <w:ind w:left="2880" w:hanging="360"/>
      </w:pPr>
    </w:lvl>
    <w:lvl w:ilvl="4" w:tplc="31057625" w:tentative="1">
      <w:start w:val="1"/>
      <w:numFmt w:val="lowerLetter"/>
      <w:lvlText w:val="%5."/>
      <w:lvlJc w:val="left"/>
      <w:pPr>
        <w:ind w:left="3600" w:hanging="360"/>
      </w:pPr>
    </w:lvl>
    <w:lvl w:ilvl="5" w:tplc="31057625" w:tentative="1">
      <w:start w:val="1"/>
      <w:numFmt w:val="lowerRoman"/>
      <w:lvlText w:val="%6."/>
      <w:lvlJc w:val="right"/>
      <w:pPr>
        <w:ind w:left="4320" w:hanging="180"/>
      </w:pPr>
    </w:lvl>
    <w:lvl w:ilvl="6" w:tplc="31057625" w:tentative="1">
      <w:start w:val="1"/>
      <w:numFmt w:val="decimal"/>
      <w:lvlText w:val="%7."/>
      <w:lvlJc w:val="left"/>
      <w:pPr>
        <w:ind w:left="5040" w:hanging="360"/>
      </w:pPr>
    </w:lvl>
    <w:lvl w:ilvl="7" w:tplc="31057625" w:tentative="1">
      <w:start w:val="1"/>
      <w:numFmt w:val="lowerLetter"/>
      <w:lvlText w:val="%8."/>
      <w:lvlJc w:val="left"/>
      <w:pPr>
        <w:ind w:left="5760" w:hanging="360"/>
      </w:pPr>
    </w:lvl>
    <w:lvl w:ilvl="8" w:tplc="31057625" w:tentative="1">
      <w:start w:val="1"/>
      <w:numFmt w:val="lowerRoman"/>
      <w:lvlText w:val="%9."/>
      <w:lvlJc w:val="right"/>
      <w:pPr>
        <w:ind w:left="6480" w:hanging="180"/>
      </w:pPr>
    </w:lvl>
  </w:abstractNum>
  <w:abstractNum w:abstractNumId="78940725">
    <w:multiLevelType w:val="hybridMultilevel"/>
    <w:lvl w:ilvl="0" w:tplc="45715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40725">
    <w:abstractNumId w:val="78940725"/>
  </w:num>
  <w:num w:numId="78940726">
    <w:abstractNumId w:val="789407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668953" Type="http://schemas.microsoft.com/office/2011/relationships/commentsExtended" Target="commentsExtended.xml"/><Relationship Id="rId46456a3fc2bfd7195" Type="http://schemas.openxmlformats.org/officeDocument/2006/relationships/hyperlink" Target="https://www.cabidigitallibrary.org/doi/10.1079/cabicompendium.31257" TargetMode="External"/><Relationship Id="rId57086a3fc2bfd775d" Type="http://schemas.openxmlformats.org/officeDocument/2006/relationships/hyperlink" Target="https://www.cabidigitallibrary.org/doi/10.1079/cabicompendium.31257" TargetMode="External"/><Relationship Id="rId43756a3fc2bfd7d20" Type="http://schemas.openxmlformats.org/officeDocument/2006/relationships/hyperlink" Target="https://www.cabidigitallibrary.org/doi/10.1079/cabicompendium.31257" TargetMode="External"/><Relationship Id="rId26596a3fc2bfd857f" Type="http://schemas.openxmlformats.org/officeDocument/2006/relationships/hyperlink" Target="https://www.cabidigitallibrary.org/doi/10.1079/cabicompendium.31257" TargetMode="External"/><Relationship Id="rId48086a3fc2bfd8b3c" Type="http://schemas.openxmlformats.org/officeDocument/2006/relationships/hyperlink" Target="https://www.cabidigitallibrary.org/doi/10.1079/cabicompendium.31257" TargetMode="External"/><Relationship Id="rId14396a3fc2bfd913e" Type="http://schemas.openxmlformats.org/officeDocument/2006/relationships/hyperlink" Target="https://www.cabidigitallibrary.org/doi/10.1079/cabicompendium.31257" TargetMode="External"/><Relationship Id="rId13906a3fc2bfd96ca" Type="http://schemas.openxmlformats.org/officeDocument/2006/relationships/hyperlink" Target="https://www.cabidigitallibrary.org/doi/10.1079/cabicompendium.31257" TargetMode="External"/><Relationship Id="rId67466a3fc2bfd9d02" Type="http://schemas.openxmlformats.org/officeDocument/2006/relationships/hyperlink" Target="https://www.cabidigitallibrary.org/doi/10.1079/cabicompendium.31257" TargetMode="External"/><Relationship Id="rId38406a3fc2bfda2c8" Type="http://schemas.openxmlformats.org/officeDocument/2006/relationships/hyperlink" Target="https://www.cabidigitallibrary.org/doi/10.1079/cabicompendium.31257" TargetMode="External"/><Relationship Id="rId73596a3fc2bfda899" Type="http://schemas.openxmlformats.org/officeDocument/2006/relationships/hyperlink" Target="https://www.cabidigitallibrary.org/doi/10.1079/cabicompendium.31257" TargetMode="External"/><Relationship Id="rId45636a3fc2bfdace2" Type="http://schemas.openxmlformats.org/officeDocument/2006/relationships/hyperlink" Target="https://vitipendium.de/Virus%C3%BCbertragende_Nematoden_im_Weinbau" TargetMode="External"/><Relationship Id="rId46116a3fc2bfdae55" Type="http://schemas.openxmlformats.org/officeDocument/2006/relationships/hyperlink" Target="https://www.cabidigitallibrary.org/doi/10.1079/cabicompendium.31257" TargetMode="External"/><Relationship Id="rId65576a3fc2bfdae92" Type="http://schemas.openxmlformats.org/officeDocument/2006/relationships/hyperlink" Target="https://doi.org/10.1016/0042-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