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Belgium (2017); Bulgaria (1993); Croatia (1996); Cyprus (2019); Czech Republic (1994); Denmark (2019); Estonia (1994); Finland (1993); France (2010); Germany (2021); Greece (1996); Hungary (2001); Ireland (1998); Italy (1992); Italy/Sicilia (2002); Latvia (2013); Lithuania (1998); Malta (1995); Netherlands (2022); Poland (2012); Portugal (1992); Portugal/Azores (1994); Romania (2011); Slovakia (2007); Slovenia (2017); Spain (2007); Sweden (1993)</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6176a04251b48323"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and testing for Ditylenchus dipsaci, but with 0% tolerance in visual inspection.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 Plant: yes (important, but no information on Ribes)</w:t>
      </w:r>
      <w:r>
        <w:rPr>
          <w:color w:val="F30000"/>
          <w:sz w:val="24"/>
          <w:szCs w:val="24"/>
        </w:rPr>
        <w:br/>
        <w:t xml:space="preserve">• Seed: yes (but not for Ribes)</w:t>
      </w:r>
      <w:r>
        <w:rPr>
          <w:color w:val="F30000"/>
          <w:sz w:val="24"/>
          <w:szCs w:val="24"/>
        </w:rPr>
        <w:br/>
        <w:t xml:space="preserve">• Pollen: no</w:t>
      </w:r>
      <w:r>
        <w:rPr>
          <w:color w:val="F30000"/>
          <w:sz w:val="24"/>
          <w:szCs w:val="24"/>
        </w:rPr>
        <w:br/>
        <w:t xml:space="preserve">• Soil: yes</w:t>
      </w:r>
      <w:r>
        <w:rPr>
          <w:color w:val="F30000"/>
          <w:sz w:val="24"/>
          <w:szCs w:val="24"/>
        </w:rPr>
        <w:br/>
        <w:t xml:space="preserve">Ditylenchus dipsaci has a very wide host-plant range (EPPO, 2023), however, there is no reference to Ditylenchus dipsaci in Ribes spp. (CAB abstract search dd 6/May/2023).</w:t>
      </w:r>
      <w:r>
        <w:rPr>
          <w:color w:val="F30000"/>
          <w:sz w:val="24"/>
          <w:szCs w:val="24"/>
        </w:rPr>
        <w:br/>
        <w:t xml:space="preserve">Some plant species are very good host-plants, which means that the nematode propagates well on these host plants, other host plant do not sustain D. dipsaci. The lifecycle of D. dipsaci is mostly above ground (in plant material), however, it can survive well in soil, especially on heavy clay soils (&gt; 10 years), on sandy soils less (aaltjesschema, 2019).</w:t>
      </w:r>
      <w:r>
        <w:rPr>
          <w:color w:val="F30000"/>
          <w:sz w:val="24"/>
          <w:szCs w:val="24"/>
        </w:rPr>
        <w:br/>
        <w:t xml:space="preserve">In international trade, D. dipsaci is liable to be carried on dry seeds and planting material of host plants. In the field, D. dipsaci migration to the soil surface, where infection occurs, is initiated by rainfall or irrigation (Barbercheck and Duncan, 2004). Regular rainfall in spring or autumn just after sowing favors nematode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Unknown. No data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Other host plants can be severely affected, but not Ribes. There are no reports in the scientific literature about Ribes as a host for Ditylenchus dipsaci or about its economic impact on this crop.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Crop rotation, although difficult since D. dipsaci has a wide host range</w:t>
      </w:r>
      <w:r>
        <w:rPr>
          <w:color w:val="606060"/>
          <w:sz w:val="24"/>
          <w:szCs w:val="24"/>
        </w:rPr>
        <w:br/>
        <w:t xml:space="preserve">Warm-water treatment of plant material,</w:t>
      </w:r>
      <w:r>
        <w:rPr>
          <w:color w:val="606060"/>
          <w:sz w:val="24"/>
          <w:szCs w:val="24"/>
        </w:rPr>
        <w:br/>
        <w:t xml:space="preserve">Soil fumigation (e.g. products based on metam-sodium), dependent on legislation</w:t>
      </w:r>
      <w:r>
        <w:rPr>
          <w:color w:val="606060"/>
          <w:sz w:val="24"/>
          <w:szCs w:val="24"/>
        </w:rPr>
        <w:br/>
        <w:t xml:space="preserve">Anaerobic Soil Desinfestation (ADS) can result in 97-99% population decline (Visser et al., 2017)</w:t>
      </w:r>
      <w:r>
        <w:rPr>
          <w:color w:val="606060"/>
          <w:sz w:val="24"/>
          <w:szCs w:val="24"/>
        </w:rPr>
        <w:br/>
        <w:t xml:space="preserve">Soil inundation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of Ribes being a host plant could be found. No economic impact reported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84026a04251b49a73"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Anonymous (2016) Brochure stengelalen [Dutch]. </w:t>
      </w:r>
      <w:hyperlink r:id="rId95566a04251b49a95" w:history="1">
        <w:r>
          <w:rPr>
            <w:color w:val="0200C9"/>
            <w:sz w:val="24"/>
            <w:szCs w:val="24"/>
          </w:rPr>
          <w:t xml:space="preserve">https://edepot.wur.nl/405964</w:t>
        </w:r>
      </w:hyperlink>
    </w:p>
    <w:p>
      <w:pPr>
        <w:numPr>
          <w:ilvl w:val="0"/>
          <w:numId w:val="1"/>
        </w:numPr>
        <w:spacing w:before="0" w:after="0" w:line="240" w:lineRule="auto"/>
        <w:jc w:val="left"/>
        <w:rPr>
          <w:color w:val="0200C9"/>
          <w:sz w:val="24"/>
          <w:szCs w:val="24"/>
        </w:rPr>
      </w:pPr>
      <w:r>
        <w:rPr>
          <w:color w:val="0200C9"/>
          <w:sz w:val="24"/>
          <w:szCs w:val="24"/>
        </w:rPr>
        <w:t xml:space="preserve">Barbercheck ME &amp; Duncan LW (2004) Abiotic factors. In Gaugler R, Bilgrami AL (Eds.): Nematode behaviour.</w:t>
      </w:r>
    </w:p>
    <w:p>
      <w:pPr>
        <w:numPr>
          <w:ilvl w:val="0"/>
          <w:numId w:val="1"/>
        </w:numPr>
        <w:spacing w:before="0" w:after="0" w:line="240" w:lineRule="auto"/>
        <w:jc w:val="left"/>
        <w:rPr>
          <w:color w:val="0200C9"/>
          <w:sz w:val="24"/>
          <w:szCs w:val="24"/>
        </w:rPr>
      </w:pPr>
      <w:r>
        <w:rPr>
          <w:color w:val="0200C9"/>
          <w:sz w:val="24"/>
          <w:szCs w:val="24"/>
        </w:rPr>
        <w:t xml:space="preserve">Wallingford. CABI Publishing, pp. 309–344</w:t>
      </w:r>
    </w:p>
    <w:p>
      <w:pPr>
        <w:numPr>
          <w:ilvl w:val="0"/>
          <w:numId w:val="1"/>
        </w:numPr>
        <w:spacing w:before="0" w:after="0" w:line="240" w:lineRule="auto"/>
        <w:jc w:val="left"/>
        <w:rPr>
          <w:color w:val="0200C9"/>
          <w:sz w:val="24"/>
          <w:szCs w:val="24"/>
        </w:rPr>
      </w:pPr>
      <w:r>
        <w:rPr>
          <w:color w:val="0200C9"/>
          <w:sz w:val="24"/>
          <w:szCs w:val="24"/>
        </w:rPr>
        <w:t xml:space="preserve">EPPO (2024) Ditylenchus dipsaci. EPPO datasheets on pests recommended for regulation. </w:t>
      </w:r>
      <w:hyperlink r:id="rId42136a04251b49e36" w:history="1">
        <w:r>
          <w:rPr>
            <w:color w:val="0200C9"/>
            <w:sz w:val="24"/>
            <w:szCs w:val="24"/>
          </w:rPr>
          <w:t xml:space="preserve">https://gd.eppo.int</w:t>
        </w:r>
      </w:hyperlink>
      <w:r>
        <w:rPr>
          <w:color w:val="0200C9"/>
          <w:sz w:val="24"/>
          <w:szCs w:val="24"/>
        </w:rPr>
        <w:t xml:space="preserve"> (accessed 2024-03-21).</w:t>
      </w:r>
    </w:p>
    <w:p>
      <w:pPr>
        <w:numPr>
          <w:ilvl w:val="0"/>
          <w:numId w:val="1"/>
        </w:numPr>
        <w:spacing w:before="0" w:after="0" w:line="240" w:lineRule="auto"/>
        <w:jc w:val="left"/>
        <w:rPr>
          <w:color w:val="0200C9"/>
          <w:sz w:val="24"/>
          <w:szCs w:val="24"/>
        </w:rPr>
      </w:pPr>
      <w:r>
        <w:rPr>
          <w:color w:val="0200C9"/>
          <w:sz w:val="24"/>
          <w:szCs w:val="24"/>
        </w:rPr>
        <w:t xml:space="preserve">Visser JHM, Molendijk LPG, Feil H, Meints H &amp; Beers T van (2017) Bodem resetten: innovatieve anaerobe grondontsmetting (ASD) tegen schadelijke bodemorganismen : laboratorium- en veldonderzoek naar de effectiviteit van anaerobe grondontsmetting met Herbie (Bodemresetten) en gras ter bestrijding van het maiswortelknobbelaaltje (Meloidogyne chitwoodi), stengelaaltje (Ditylenchus dipsaci), het aardappelcysteaaltjespp en de bodemschimmel Verticillium dahliae, Wageningen : Wageningen University &amp; Research, Praktijkonderzoek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70729">
    <w:multiLevelType w:val="hybridMultilevel"/>
    <w:lvl w:ilvl="0" w:tplc="71125925">
      <w:start w:val="1"/>
      <w:numFmt w:val="decimal"/>
      <w:lvlText w:val="%1."/>
      <w:lvlJc w:val="left"/>
      <w:pPr>
        <w:ind w:left="720" w:hanging="360"/>
      </w:pPr>
    </w:lvl>
    <w:lvl w:ilvl="1" w:tplc="71125925" w:tentative="1">
      <w:start w:val="1"/>
      <w:numFmt w:val="lowerLetter"/>
      <w:lvlText w:val="%2."/>
      <w:lvlJc w:val="left"/>
      <w:pPr>
        <w:ind w:left="1440" w:hanging="360"/>
      </w:pPr>
    </w:lvl>
    <w:lvl w:ilvl="2" w:tplc="71125925" w:tentative="1">
      <w:start w:val="1"/>
      <w:numFmt w:val="lowerRoman"/>
      <w:lvlText w:val="%3."/>
      <w:lvlJc w:val="right"/>
      <w:pPr>
        <w:ind w:left="2160" w:hanging="180"/>
      </w:pPr>
    </w:lvl>
    <w:lvl w:ilvl="3" w:tplc="71125925" w:tentative="1">
      <w:start w:val="1"/>
      <w:numFmt w:val="decimal"/>
      <w:lvlText w:val="%4."/>
      <w:lvlJc w:val="left"/>
      <w:pPr>
        <w:ind w:left="2880" w:hanging="360"/>
      </w:pPr>
    </w:lvl>
    <w:lvl w:ilvl="4" w:tplc="71125925" w:tentative="1">
      <w:start w:val="1"/>
      <w:numFmt w:val="lowerLetter"/>
      <w:lvlText w:val="%5."/>
      <w:lvlJc w:val="left"/>
      <w:pPr>
        <w:ind w:left="3600" w:hanging="360"/>
      </w:pPr>
    </w:lvl>
    <w:lvl w:ilvl="5" w:tplc="71125925" w:tentative="1">
      <w:start w:val="1"/>
      <w:numFmt w:val="lowerRoman"/>
      <w:lvlText w:val="%6."/>
      <w:lvlJc w:val="right"/>
      <w:pPr>
        <w:ind w:left="4320" w:hanging="180"/>
      </w:pPr>
    </w:lvl>
    <w:lvl w:ilvl="6" w:tplc="71125925" w:tentative="1">
      <w:start w:val="1"/>
      <w:numFmt w:val="decimal"/>
      <w:lvlText w:val="%7."/>
      <w:lvlJc w:val="left"/>
      <w:pPr>
        <w:ind w:left="5040" w:hanging="360"/>
      </w:pPr>
    </w:lvl>
    <w:lvl w:ilvl="7" w:tplc="71125925" w:tentative="1">
      <w:start w:val="1"/>
      <w:numFmt w:val="lowerLetter"/>
      <w:lvlText w:val="%8."/>
      <w:lvlJc w:val="left"/>
      <w:pPr>
        <w:ind w:left="5760" w:hanging="360"/>
      </w:pPr>
    </w:lvl>
    <w:lvl w:ilvl="8" w:tplc="71125925" w:tentative="1">
      <w:start w:val="1"/>
      <w:numFmt w:val="lowerRoman"/>
      <w:lvlText w:val="%9."/>
      <w:lvlJc w:val="right"/>
      <w:pPr>
        <w:ind w:left="6480" w:hanging="180"/>
      </w:pPr>
    </w:lvl>
  </w:abstractNum>
  <w:abstractNum w:abstractNumId="42470728">
    <w:multiLevelType w:val="hybridMultilevel"/>
    <w:lvl w:ilvl="0" w:tplc="870311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70728">
    <w:abstractNumId w:val="42470728"/>
  </w:num>
  <w:num w:numId="42470729">
    <w:abstractNumId w:val="424707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069535" Type="http://schemas.microsoft.com/office/2011/relationships/commentsExtended" Target="commentsExtended.xml"/><Relationship Id="rId86176a04251b48323" Type="http://schemas.openxmlformats.org/officeDocument/2006/relationships/hyperlink" Target="https://gd.eppo.int/" TargetMode="External"/><Relationship Id="rId84026a04251b49a73" Type="http://schemas.openxmlformats.org/officeDocument/2006/relationships/hyperlink" Target="https://www.aaltjesschema.nl/Home.aspx" TargetMode="External"/><Relationship Id="rId95566a04251b49a95" Type="http://schemas.openxmlformats.org/officeDocument/2006/relationships/hyperlink" Target="https://edepot.wur.nl/405964" TargetMode="External"/><Relationship Id="rId42136a04251b49e3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