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has a migratory life cycle. It estivates and overwinters on conifers. In early spring, the overwintered adults migrate to pome fruits on a regional scale. Plants for planting are not the major pathway for insect distribution.</w:t>
      </w:r>
      <w:r>
        <w:rPr>
          <w:color w:val="F30000"/>
          <w:sz w:val="24"/>
          <w:szCs w:val="24"/>
        </w:rPr>
        <w:br/>
        <w:t xml:space="preserve">C. mali lives on apples all year round and also reproduces there (Ossianilsson 1992). It is unclear to which extent C. mali breeds on quince or whether there is an occasional feeding activity of adults during their migration activities only (which has no relevance for plants for planting).</w:t>
      </w:r>
      <w:r>
        <w:rPr>
          <w:color w:val="F30000"/>
          <w:sz w:val="24"/>
          <w:szCs w:val="24"/>
        </w:rPr>
        <w:br/>
        <w:t xml:space="preserve">Quince plants for planting are not reported as a pest source (C. melanoneura) or considered very unlikely (C. mali). Due to frequent and widespread presence of the two psyllid species in Europe, the probability of natural infestation in the field is very high.</w:t>
      </w:r>
      <w:r>
        <w:rPr>
          <w:color w:val="F30000"/>
          <w:sz w:val="24"/>
          <w:szCs w:val="24"/>
        </w:rP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Quince (Cydonia oblonga) is used as rootstock for pear; information on impact of Cacopsylla as vectors of ‘Ca. P. pyri’ is linked to pear not to quince. Psyllid species reported on quince are C. melanoneura (oligophagous, but mostly on Crataegus spp.) and C. mali (monophagous on Malus, but occasionally on Cydonia) (Ellis, 2001-2024).</w:t>
      </w:r>
      <w:r>
        <w:rPr>
          <w:color w:val="606060"/>
          <w:sz w:val="24"/>
          <w:szCs w:val="24"/>
        </w:rPr>
        <w:br/>
        <w:t xml:space="preserve">C. melanoneura is a confirmed vector of ‘Candidatus Phytoplasma mali’, individuals carrying ‘Ca. P. pyri’ have been observed (Tedeschi et al. 2004, Tedeschi and Nardi, 2010). Cydonia, however is not a host for ‘Ca. P. mali’. Neither C. melanoneura nor C. mali are confirmed vectors of ‘Ca. P.pyri’ (Jarausch et al. 2019). This phytoplasma is transmitted by three pear sucker species (C. pyri, C. pyricola, C. pyrisuga; Riedle-Bauer et al., 2022), but these pear sucker species are not known to use quince as reproductive host. C. mali feeding activity may cause damage in apple orchards, however, reports of damage in quince are absent.</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damage due to the two psyllid species is not proven. Infections of quince (rootstocks) with ‘Ca. P. pyri’ are of high economic relevance, but the Cacopsylla species reported on quince are no known vectors for this phytoplasma.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no impact reported on quince.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61(1), 147-148.</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64916a3fbac82fc36"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78116a3fbac82fc71"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Horton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&amp;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Tedeschi R, Alma A (2004) Transmission of apple proliferation phytoplasma by Cacopsylla melanoneura (Homoptera: Psyllidae). J Econ Entomol 97:8–13. </w:t>
      </w:r>
      <w:hyperlink r:id="rId45536a3fbac82fd75" w:history="1">
        <w:r>
          <w:rPr>
            <w:color w:val="0200C9"/>
            <w:sz w:val="24"/>
            <w:szCs w:val="24"/>
          </w:rPr>
          <w:t xml:space="preserve">https://doi.org/10.1093/jee/97.1.8</w:t>
        </w:r>
      </w:hyperlink>
    </w:p>
    <w:p>
      <w:pPr>
        <w:numPr>
          <w:ilvl w:val="0"/>
          <w:numId w:val="1"/>
        </w:numPr>
        <w:spacing w:before="0" w:after="0" w:line="240" w:lineRule="auto"/>
        <w:jc w:val="left"/>
        <w:rPr>
          <w:color w:val="0200C9"/>
          <w:sz w:val="24"/>
          <w:szCs w:val="24"/>
        </w:rPr>
      </w:pPr>
      <w:r>
        <w:rPr>
          <w:color w:val="0200C9"/>
          <w:sz w:val="24"/>
          <w:szCs w:val="24"/>
        </w:rPr>
        <w:t xml:space="preserve">Tedeschi R, Nardi F (2010) DNA-based discrimination and frequency of phytoplasma infection in the two hawthorn-feeding species, Cacopsylla melanoneura and Cacopsylla affinis, in northwestern Italy. Bulletin of Entomological Research. 2010;100(6):741-747. doi:10.1017/S0007485310000118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and C. picta have a migratory life cycle. They estivate and overwinter on conifers. In early spring, the overwintered adults migrate to pome fruits on a regional scale. The adults of C. picta reproduce exclusively on apple and migrate soon after emergence (emigrants) to conifers in mountainous regions, and return to apple plants in early spring (remigrants). C. melanoneura also uses conifers as overwintering host plants but prefers to reproduce on hawthorn (Crataegus), despite its ability to reproduce on apple (Mayer et al., 2010). Populations of C. melanoneura from hawthorn and apple can differ (Malagnini et al., 2013) and were influenced by their previous experience (Mayer et al., 2011). Plants for planting are not the major pathway for insect distribution, although it is likely possible that single specimen are transported with plants for planting.</w:t>
      </w:r>
      <w:r>
        <w:rPr>
          <w:color w:val="F30000"/>
          <w:sz w:val="24"/>
          <w:szCs w:val="24"/>
        </w:rPr>
        <w:br/>
        <w:t xml:space="preserve">C. mali lives on apples all year round and also reproduces there (Ossianilsson 1992). It seems possible that specimen are transported with propagation material as the species overwinters in the egg stage on Malus (Ossianilsson 1992). There are no conclusive data to which extent adults have a migratory behavior and therefore naturally spread from apple orchard to apple orchard. It cannot be excluded that plants for planting substantially contribute to pest spread.</w:t>
      </w:r>
      <w:r>
        <w:rPr>
          <w:color w:val="F30000"/>
          <w:sz w:val="24"/>
          <w:szCs w:val="24"/>
        </w:rPr>
        <w:br/>
        <w:t xml:space="preserve">However, the Fruit SEWG considered that for all these species, plants for planting should not be considered as a significant pathway.</w:t>
      </w:r>
      <w:r>
        <w:rPr>
          <w:color w:val="F30000"/>
          <w:sz w:val="24"/>
          <w:szCs w:val="24"/>
        </w:rPr>
        <w:br/>
        <w:br/>
        <w:t xml:space="preserve">The impact of psyllids in apple is mainly linked to their ability to vector ‘Candidatus Phytoplasma mali’, causing apple proliferation disease (see section on impact). While Cacopsylla picta is a vector in different regions, the vector efficiency of C. melanoneura varies between different populations. This species is considered the main vector in Northwestern Italy but plays a minor role / no role in Northeastern Italy and other European regions (Frisinghelli et al, 2000; Tedeschi &amp; Alma, 2007; Jarausch et al. 2011; Mayer et al., 2011; Corretto et al., 2023). High phytoplasma titers were measured in overwintered adults already at their first appearance in the orchards after remigration from their overwintering hosts. Data indicate transmission of the disease on a regional scale by remigrant adults of C. picta and at a local scale within the same season by emigrant adults which developed on infected plants (Jarausch et al., 2011). In addition, C. picta can vertically transmit the ‘Candidatus Phytoplasma mali’ to its progeny (Mittelberger et al., 2017).</w:t>
      </w:r>
      <w:r>
        <w:rPr>
          <w:color w:val="F30000"/>
          <w:sz w:val="24"/>
          <w:szCs w:val="24"/>
        </w:rPr>
        <w:br/>
        <w:t xml:space="preserve">In addition factors like the phytoplasma subtype and genetic features of the phyllids influenced e.g. the acquisition time (Corretto et al., 2023). The phytoplasma could be detected in all the life stages of e.g. C. melanoneura; the phytoplasma load significantly increased during the period spent on conifers. In many cases also nymphs and newly emerged adults contained a sufficient quantity of phytoplasma to consider these stages infective (Candian et al., 2020).</w:t>
      </w:r>
      <w:r>
        <w:rPr>
          <w:color w:val="F30000"/>
          <w:sz w:val="24"/>
          <w:szCs w:val="24"/>
        </w:rPr>
        <w:br/>
        <w:br/>
        <w:t xml:space="preserve">[Remark: In the responses to the questionnaire, SI commented that Cacopsylla spp. are not mainly transmitted by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impact of the psyllids is mainly linked to their ability to vector ‘Ca. Phytoplasma mali’ i.e. C. picta and C. melanoneura. Overwintered adults retained high quantities of phytoplasmas, representing the most worrisome stage. Also in several nymphs and newly emerged adults a sufficient quantity of phytoplasmas was detected to consider these stages infective. So both remigrating adults as well as newly emerged adults represent a risk for the spread of the disease (Jarausch et al., 2011; Jarausch et al. 2019; Candian et al., 2020).</w:t>
      </w:r>
      <w:r>
        <w:rPr>
          <w:color w:val="606060"/>
          <w:sz w:val="24"/>
          <w:szCs w:val="24"/>
        </w:rPr>
        <w:br/>
        <w:t xml:space="preserve">Apple proliferation phytoplasma affects almost all apple cultivars. It may reduce fruit size by about 50%, weight by 63-70%, and the fruit quality, as well as it may reduce tree vigour and increase susceptibility to powdery mildew (Podosphaera leucotricha) (EPPO 2024). Fruit number is usually not affected, but the fruit color is unsatisfactory and the taste is poor, with the result that as much as 80% of the fruits are unmarketable. The root system may be poorly developed in young trees. When the percentage of diseased trees is high and the production decreases too much, orchards have to be uprooted, often several years within their normal life span (Seemüller et al. 2011). Yield reduction caused by apple proliferation disease in Italy has led to an economic loss of about 100 million Euros in 2001 (Strauss, 2009).</w:t>
      </w:r>
      <w:r>
        <w:rPr>
          <w:color w:val="606060"/>
          <w:sz w:val="24"/>
          <w:szCs w:val="24"/>
        </w:rPr>
        <w:br/>
        <w:t xml:space="preserve">C. mali and C. picta occasionally directly damage plants due to their feeding activity. They suck sap off leafstalks, peduncles, leaves, and flower buds and thereby causing loss of flowers, distortion of young shoots and leaves and excessive honeydew. In most cases, damage is minor (pflanzenkrankheiten.ch).</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rated as 'major' for Apple proliferation, 'minor' for C. mali itself.</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melanoneura and C. picta estivate and overwinter on conifers and remigrate to apple orchards over several weeks in spring (Jarausch et al. 2019, for review). Studies on the closely related plum sucker C. pruni (Paleskic et al. 2017) indicate that insecticide application over six to eight weeks at early developmental stages of the trees i) imply several treatments with knock down insecticides (environmental effects?) and ii) will rather not fully prevent the presence and feeding of remigrating Cacopsylla individuals on apple plants.</w:t>
      </w:r>
      <w:r>
        <w:rPr>
          <w:color w:val="606060"/>
          <w:sz w:val="24"/>
          <w:szCs w:val="24"/>
        </w:rPr>
        <w:br/>
        <w:t xml:space="preserve">C. mali presence on plant for planting can be controlled by insecticides.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(2024) Evaluation of factors determining distribution, impact, detection and characterization of fruit tree phytoplasmoses (APOPHYT). </w:t>
      </w:r>
      <w:hyperlink r:id="rId11146a3fbac830291" w:history="1">
        <w:r>
          <w:rPr>
            <w:color w:val="0200C9"/>
            <w:sz w:val="24"/>
            <w:szCs w:val="24"/>
          </w:rPr>
          <w:t xml:space="preserve">https://dafne.at/content/report_release/fa851e7f-3a03-4c13-9b1e-259195adbb16_1.pdf</w:t>
        </w:r>
      </w:hyperlink>
    </w:p>
    <w:p>
      <w:pPr>
        <w:numPr>
          <w:ilvl w:val="0"/>
          <w:numId w:val="1"/>
        </w:numPr>
        <w:spacing w:before="0" w:after="0" w:line="240" w:lineRule="auto"/>
        <w:jc w:val="left"/>
        <w:rPr>
          <w:color w:val="0200C9"/>
          <w:sz w:val="24"/>
          <w:szCs w:val="24"/>
        </w:rPr>
      </w:pPr>
      <w:r>
        <w:rPr>
          <w:color w:val="0200C9"/>
          <w:sz w:val="24"/>
          <w:szCs w:val="24"/>
        </w:rPr>
        <w:t xml:space="preserve">Candian V, Monti M &amp; Tedeschi R (2020) Temporal dynamics of 'Ca. Phytoplasma mali' load in the insect vector Cacopsylla melanoneura. Insects 11(9), 592. doi: 10.3390/insects11090592.</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 (1): 147-148.</w:t>
      </w:r>
    </w:p>
    <w:p>
      <w:pPr>
        <w:numPr>
          <w:ilvl w:val="0"/>
          <w:numId w:val="1"/>
        </w:numPr>
        <w:spacing w:before="0" w:after="0" w:line="240" w:lineRule="auto"/>
        <w:jc w:val="left"/>
        <w:rPr>
          <w:color w:val="0200C9"/>
          <w:sz w:val="24"/>
          <w:szCs w:val="24"/>
        </w:rPr>
      </w:pPr>
      <w:r>
        <w:rPr>
          <w:color w:val="0200C9"/>
          <w:sz w:val="24"/>
          <w:szCs w:val="24"/>
        </w:rPr>
        <w:t xml:space="preserve">Corretto E, Trenti Mm Štarhová Serbina L, Howie JM, Dittmer J, Kerschbamer C, Candian V, Tedeschi R, Janik K &amp; Schuler H (2023) Multiple factors driving the acquisition efficiency of apple proliferation phytoplasma in Cacopsylla melanoneura. Journal of Pest Science </w:t>
      </w:r>
      <w:hyperlink r:id="rId86256a3fbac8302ed"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Frisinghelli C, Delaiti L, Grando MS, Forti D &amp; Vindimian ME (2000): Cacopsylla costalis (Flor 1861), as a vector of apple proliferation in Trentino. Journal of Phytopathology 148, 425–431</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Malagnini V, Pedrazzoli F, Papetti C, Cainelli C, Zasso R, Gualandri V, Pozzebon A &amp; Ioriatti C (2013) Ecological and genetic differences between Cacopsylla melanoneura (Hemiptera, Psyllidae) populations reveal species host plant preference. PLoS ONE 8(7): e69663. doi:10.1371/journal.pone.0069663</w:t>
      </w:r>
    </w:p>
    <w:p>
      <w:pPr>
        <w:numPr>
          <w:ilvl w:val="0"/>
          <w:numId w:val="1"/>
        </w:numPr>
        <w:spacing w:before="0" w:after="0" w:line="240" w:lineRule="auto"/>
        <w:jc w:val="left"/>
        <w:rPr>
          <w:color w:val="0200C9"/>
          <w:sz w:val="24"/>
          <w:szCs w:val="24"/>
        </w:rPr>
      </w:pPr>
      <w:r>
        <w:rPr>
          <w:color w:val="0200C9"/>
          <w:sz w:val="24"/>
          <w:szCs w:val="24"/>
        </w:rPr>
        <w:t xml:space="preserve">Mayer CJ, Vilcinskas A &amp; Gross J (2010) Chemically mediated multitrophic interactions in a plant–insect vector-phytoplasma system compared with a partially nonvector species. Agricultural and Forest Entomology 13(1), 25-35.</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Diseases of Pome and Stone Fruits (eds Hadidi A, Barba M, Candresse T &amp; Jelkmann W). The American Phytopathological Society, 67-73.</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&amp; Riedle-Bauer M (2017) Cage and field experiments as basis for the development of control strategies against Cacopsylla pruni, the vector of European Stone Fruit Yellows. Ann Appl Biol 170:357–368. </w:t>
      </w:r>
      <w:hyperlink r:id="rId12296a3fbac8303c2"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Pflanzenkrankheiten.ch (2024) Apfelblattsauger. </w:t>
      </w:r>
      <w:hyperlink r:id="rId87516a3fbac8303ec" w:history="1">
        <w:r>
          <w:rPr>
            <w:color w:val="0200C9"/>
            <w:sz w:val="24"/>
            <w:szCs w:val="24"/>
          </w:rPr>
          <w:t xml:space="preserve">https://www.pflanzenkrankheiten.ch/krankheiten-an-kulturpflanzen-2/kern-steinobst/krankheiten-apfel/cacopsylla-mali-apfel#:~:text=Der%20Apfelblattsauger%20</w:t>
        </w:r>
      </w:hyperlink>
      <w:r>
        <w:rPr>
          <w:color w:val="0200C9"/>
          <w:sz w:val="24"/>
          <w:szCs w:val="24"/>
        </w:rPr>
        <w:t xml:space="preserve">(Cacopsylla%20mali)%20%C3%BCberwintert,die%20Insekten%20ausgewachsen%20und%20gefl%C3%BCgelt.</w:t>
      </w:r>
    </w:p>
    <w:p>
      <w:pPr>
        <w:numPr>
          <w:ilvl w:val="0"/>
          <w:numId w:val="1"/>
        </w:numPr>
        <w:spacing w:before="0" w:after="0" w:line="240" w:lineRule="auto"/>
        <w:jc w:val="left"/>
        <w:rPr>
          <w:color w:val="0200C9"/>
          <w:sz w:val="24"/>
          <w:szCs w:val="24"/>
        </w:rPr>
      </w:pPr>
      <w:r>
        <w:rPr>
          <w:color w:val="0200C9"/>
          <w:sz w:val="24"/>
          <w:szCs w:val="24"/>
        </w:rPr>
        <w:t xml:space="preserve">Strauss E (2009) Microbiology. Phytoplasma research begins to bloom. Science 325, 388-390.</w:t>
      </w:r>
    </w:p>
    <w:p>
      <w:pPr>
        <w:numPr>
          <w:ilvl w:val="0"/>
          <w:numId w:val="1"/>
        </w:numPr>
        <w:spacing w:before="0" w:after="0" w:line="240" w:lineRule="auto"/>
        <w:jc w:val="left"/>
        <w:rPr>
          <w:color w:val="0200C9"/>
          <w:sz w:val="24"/>
          <w:szCs w:val="24"/>
        </w:rPr>
      </w:pPr>
      <w:r>
        <w:rPr>
          <w:color w:val="0200C9"/>
          <w:sz w:val="24"/>
          <w:szCs w:val="24"/>
        </w:rPr>
        <w:t xml:space="preserve">Tedeschi R &amp; Alma A (2007) ‘Candidatus Phytoplasma mali’: the current situation of insect vectors in northwestern Italy. Bulletin of Insectology 60(2), 187-188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C.pyrisuga has a migratory life cycle. It estivates and overwinters on conifers. In early spring, the overwintered adults migrate to Pyrus on a regional scale. Although it is possible that plants for planting are infested, their role for insect distribution is minor.</w:t>
      </w:r>
      <w:r>
        <w:rPr>
          <w:color w:val="F30000"/>
          <w:sz w:val="24"/>
          <w:szCs w:val="24"/>
        </w:rPr>
        <w:br/>
        <w:br/>
        <w:t xml:space="preserve">All other Cacopsylla species mentioned above are group are multivoltine and overwinter in reproductive diapause as a seasonally distinctive form or morphotype. An important trait of at least some species in this group is dispersal from pear by the winterform generation. This activity has been extensively studied for North American populations of C. pyricola. A varying percentage of the winterform population leaves the pear orchards in autumn and overwinters on non- host shelter plants. This behavior leads to relevant redistribution of individuals between orchards. Warm and dry autumns lead to higher percentages of dispersing individuals (Civolani et al. 2023, for review). An evaluation of gut contents of C. pyricola in autumn by molecular means in USA revealed feeding activity on 18 plant families (Cooper et al. 2019), overwintering on apple was also observed (Horton and Lewis, 2011). The migration behavior of winter-form C. pyri and C. bidens seem to be less pronounced, nevertheless both species have been collected from stone and pome fruit trees in Winter (Civolani et al. 2023, for review).</w:t>
      </w:r>
      <w:r>
        <w:rPr>
          <w:color w:val="F30000"/>
          <w:sz w:val="24"/>
          <w:szCs w:val="24"/>
        </w:rPr>
        <w:br/>
        <w:t xml:space="preserve">C. pyricola, now widespread in North America, is native from Europe. It was introduced to USA in the early 1800s with pear seedlings from Europe (Horton, 2008).</w:t>
      </w:r>
      <w:r>
        <w:rPr>
          <w:color w:val="F30000"/>
          <w:sz w:val="24"/>
          <w:szCs w:val="24"/>
        </w:rPr>
        <w:br/>
        <w:t xml:space="preserve">The fact that C. pyricola was introduced into USA by pear seedling indicates that infested plants for planting (Horton, 2008) can be relevant for spread of the mentioned species. Given the extended infestations of pear orchards with C. pyri (Civolani, 2012) and C. pyricola (e.g. Trapman &amp; Blommers, 1992, Riedle-Bauer et al. 2022) in many parts of Europe, however, it is not likely that Cacopsylla spp. mainly spread through specific plants for planting.</w:t>
      </w:r>
      <w:r>
        <w:rPr>
          <w:color w:val="F30000"/>
          <w:sz w:val="24"/>
          <w:szCs w:val="24"/>
        </w:rPr>
        <w:b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Cacopsylla pyri, C. pyricola and C. bidens are notorious pests of commercial pears. High-density populations of these insects can cause several types of damage: fruit russet, psylla shock and pear decline (for some psyllids). The nymphs secrete copious quantities of honeydew. If this honeydew is in contact with fruit for a significant period of time it causes dark blotches or streaks on the surface of the fruit (russetting), which in turn results in downgrading of the fruit at harvest (Burts, 1970 in Nin et al., 2012). Fruit russet is of most concern to growers, and control programs are generally directed at preventing this injury, since it can be caused by relatively low population densities (Burts, 1988; Nin et al., 2012). Psylla shock is caused by feeding nymphs in high density and can lead to premature leaf and fruit drop, diminish plant growth, and reduce fruit size. Flowers attacked by first generation nymphs turn brown and die. Feeding later in the season may affect the harvest of the next year by weakening or killing fruit buds (Pfeiffer &amp; Burts, 1983; Shaltiel-Harpaz et al., 2018). Cacopsylla pyri, C. pyricola and C. pyrisuga are vectors of ‘Candidatus Phytoplasma pyri’ that causes pear decline disease (Weintraub &amp; Beanland, 2006; Riedle-Bauer et al., 2022).</w:t>
      </w:r>
      <w:r>
        <w:rPr>
          <w:color w:val="606060"/>
          <w:sz w:val="24"/>
          <w:szCs w:val="24"/>
        </w:rPr>
        <w:b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color w:val="606060"/>
          <w:sz w:val="24"/>
          <w:szCs w:val="24"/>
        </w:rPr>
        <w:br/>
        <w:t xml:space="preserve">Pear psyllid is estimated to cost the UK pear industry £5 million per annum and has a significant economic impact on pear production globally (Reeves et al., 2024).</w:t>
      </w:r>
      <w:r>
        <w:rPr>
          <w:color w:val="606060"/>
          <w:sz w:val="24"/>
          <w:szCs w:val="24"/>
        </w:rP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pyrisuga constantly remigrates to pear orchards over several weeks in spring (e.g. illustrated in Riedle-Bauer et al. 2022). Studies on the closely related plum sucker C. pruni (Paleskic et al. 2017) indicate that insecticide application over six to eight weeks at early developmental stages of the trees i) imply several treatments with knock down insecticides (environmental effects?)and ii)will rather not fully prevent the presence and feeding of remigrating Cacopsylla individuals on pear plants.</w:t>
      </w:r>
      <w:r>
        <w:rPr>
          <w:color w:val="606060"/>
          <w:sz w:val="24"/>
          <w:szCs w:val="24"/>
        </w:rPr>
        <w:br/>
        <w:br/>
        <w:t xml:space="preserve">As stated above, all above mentioned Cacopsylla species except C. pyrisuga colonize the pear trees during a vast part of the year, and leave and move back to pear from autumn to early spring. Any attempt to prevent insect presence on mother plants or nursery plants would require numerous treatments all year round. Treatment success is severely endangered by the risk of resistance development against active ingredients. From autumn to spring, the time most relevant for phytoplasma transmission (Riedle-Bauer et al. 2022), insecticide effects are in addition hampered by cool temperatures, and plant dormancy or very early stages of plant development (as reported for C. pruni by Paleskic et al. 2017). Overall high numbers of pesticide applications would i) encounter undesired side effects without ii) fully reaching the goal to ensure freedom pf pears from Cacopsylla spp..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Burckhardt D, Hodkinson I (1986) A revision of the west Palaearctic pear psyllids (Hemiptera: Psyllidae). Bull Entomol Res 76(1):119–132. https:// doi. org/ 10. 1017/ S0007 48530 00153 40</w:t>
      </w:r>
    </w:p>
    <w:p>
      <w:pPr>
        <w:numPr>
          <w:ilvl w:val="0"/>
          <w:numId w:val="1"/>
        </w:numPr>
        <w:spacing w:before="0" w:after="0" w:line="240" w:lineRule="auto"/>
        <w:jc w:val="left"/>
        <w:rPr>
          <w:color w:val="0200C9"/>
          <w:sz w:val="24"/>
          <w:szCs w:val="24"/>
        </w:rPr>
      </w:pPr>
      <w:r>
        <w:rPr>
          <w:color w:val="0200C9"/>
          <w:sz w:val="24"/>
          <w:szCs w:val="24"/>
        </w:rPr>
        <w:t xml:space="preserve">Burts EC (1970) The pear psylla in Central Washington. Washington Agricultural Experiment Station, Pullman, WA, USA, Circular 13, pp. 516.</w:t>
      </w:r>
    </w:p>
    <w:p>
      <w:pPr>
        <w:numPr>
          <w:ilvl w:val="0"/>
          <w:numId w:val="1"/>
        </w:numPr>
        <w:spacing w:before="0" w:after="0" w:line="240" w:lineRule="auto"/>
        <w:jc w:val="left"/>
        <w:rPr>
          <w:color w:val="0200C9"/>
          <w:sz w:val="24"/>
          <w:szCs w:val="24"/>
        </w:rPr>
      </w:pPr>
      <w:r>
        <w:rPr>
          <w:color w:val="0200C9"/>
          <w:sz w:val="24"/>
          <w:szCs w:val="24"/>
        </w:rPr>
        <w:t xml:space="preserve">Burts EC (1988) Damage threshold for pear psylla nymphs (Homoptera: Psyllidae). Journal of Economic Entomology 78, 1327-1330.</w:t>
      </w:r>
    </w:p>
    <w:p>
      <w:pPr>
        <w:numPr>
          <w:ilvl w:val="0"/>
          <w:numId w:val="1"/>
        </w:numPr>
        <w:spacing w:before="0" w:after="0" w:line="240" w:lineRule="auto"/>
        <w:jc w:val="left"/>
        <w:rPr>
          <w:color w:val="0200C9"/>
          <w:sz w:val="24"/>
          <w:szCs w:val="24"/>
        </w:rPr>
      </w:pPr>
      <w:r>
        <w:rPr>
          <w:color w:val="0200C9"/>
          <w:sz w:val="24"/>
          <w:szCs w:val="24"/>
        </w:rPr>
        <w:t xml:space="preserve">Civolani S (2012) The past and present of pear protection against the pear Psylla, Cacopsylla pyri L. insecticides - pest engineering. In: Perveen F (ed), InTech, </w:t>
      </w:r>
      <w:hyperlink r:id="rId16256a3fbac8309a0" w:history="1">
        <w:r>
          <w:rPr>
            <w:color w:val="0200C9"/>
            <w:sz w:val="24"/>
            <w:szCs w:val="24"/>
          </w:rPr>
          <w:t xml:space="preserve">http://cdn.intechopen.com/pdfs-wm/28270.pdf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Civolani, S., Soroker, V., Cooper, WR, Horton, DR (2023) Diversity, biology, and management of the pear psyllids: a global look, Annals of the Entomological Society of America, 116, 331–357, </w:t>
      </w:r>
      <w:hyperlink r:id="rId24046a3fbac8309ef" w:history="1">
        <w:r>
          <w:rPr>
            <w:color w:val="0200C9"/>
            <w:sz w:val="24"/>
            <w:szCs w:val="24"/>
          </w:rPr>
          <w:t xml:space="preserve">https://doi.org/10.1093/aesa/saad025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Cooper WR, Horton DR, Wildung MR, Jensen AS, Thinakaran J, Rendon D, Nottingham LB, Beers EH, Wohleb CH, Hall DG, Stelinski LL (2019) Host and Non-host 'Whistle Stops' for Psyllids: Molecular Gut Content Analysis by High-Throughput Sequencing Reveals Landscape-Level Movements of Psylloidea (Hemiptera). Environ Entomol. 48(3):603-613. doi: 10.1093/ee/nvz038. PMID: 31041987.</w:t>
      </w:r>
    </w:p>
    <w:p>
      <w:pPr>
        <w:numPr>
          <w:ilvl w:val="0"/>
          <w:numId w:val="1"/>
        </w:numPr>
        <w:spacing w:before="0" w:after="0" w:line="240" w:lineRule="auto"/>
        <w:jc w:val="left"/>
        <w:rPr>
          <w:color w:val="0200C9"/>
          <w:sz w:val="24"/>
          <w:szCs w:val="24"/>
        </w:rPr>
      </w:pPr>
      <w:r>
        <w:rPr>
          <w:color w:val="0200C9"/>
          <w:sz w:val="24"/>
          <w:szCs w:val="24"/>
        </w:rPr>
        <w:t xml:space="preserve">Etropolska A., Jarausch W, Jarausch B, Trenchev G (2015) Detection of European fruit tree phytoplasmas and their insect vectors in important fruit-growing regions in Bulgaria. Bulgarian Journal of Agricultural Science 21 (No 6), 1248-1253</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Horton DR (2008) Pear Psylla, Cacopsylla pyricola (Foerster) (Hemiptera: Psyllidae). In: Capinera, J.L. (eds) Encyclopedia of Entomology. Springer, Dordrecht. </w:t>
      </w:r>
      <w:hyperlink r:id="rId98206a3fbac830a6e" w:history="1">
        <w:r>
          <w:rPr>
            <w:color w:val="0200C9"/>
            <w:sz w:val="24"/>
            <w:szCs w:val="24"/>
          </w:rPr>
          <w:t xml:space="preserve">https://doi.org/10.1007/978-1-4020-6359-6_2818</w:t>
        </w:r>
      </w:hyperlink>
    </w:p>
    <w:p>
      <w:pPr>
        <w:numPr>
          <w:ilvl w:val="0"/>
          <w:numId w:val="1"/>
        </w:numPr>
        <w:spacing w:before="0" w:after="0" w:line="240" w:lineRule="auto"/>
        <w:jc w:val="left"/>
        <w:rPr>
          <w:color w:val="0200C9"/>
          <w:sz w:val="24"/>
          <w:szCs w:val="24"/>
        </w:rPr>
      </w:pPr>
      <w:r>
        <w:rPr>
          <w:color w:val="0200C9"/>
          <w:sz w:val="24"/>
          <w:szCs w:val="24"/>
        </w:rPr>
        <w:t xml:space="preserve">Hornton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Malenovský I &amp; Lauterer P (2012) Jumping plant-lice (Hemiptera: Psylloidea) of the Bílé Karpaty Protected Landscape Area and Biosphere Reserve (Czech Republic). - Acta Musei Moraviae [Scientiae biologicae] 96(2), 105-154.</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Nin S., Ferri A., Sacchetti P &amp; Giordani E (2012) Pear resistance to psylla (Cacopsylla pyri L.) A review. Advances in Horticultural Science 26(1) 59-74.</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Riedle-Bauer M (2017) Cage and field experiments as basis for the development of control strategies against Cacopsylla pruni, the vector of European Stone Fruit Yellows. Ann Appl Biol 170:357–368. </w:t>
      </w:r>
      <w:hyperlink r:id="rId93226a3fbac830b33"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Pfeiffer DG &amp; Burts EC (1983) Effect of tree fertilization on numbers and development of pear psylla (Homoptera : Psyllidae) and on fruit damage, Environmental Entomology 12, 895-901.</w:t>
      </w:r>
    </w:p>
    <w:p>
      <w:pPr>
        <w:numPr>
          <w:ilvl w:val="0"/>
          <w:numId w:val="1"/>
        </w:numPr>
        <w:spacing w:before="0" w:after="0" w:line="240" w:lineRule="auto"/>
        <w:jc w:val="left"/>
        <w:rPr>
          <w:color w:val="0200C9"/>
          <w:sz w:val="24"/>
          <w:szCs w:val="24"/>
        </w:rPr>
      </w:pPr>
      <w:r>
        <w:rPr>
          <w:color w:val="0200C9"/>
          <w:sz w:val="24"/>
          <w:szCs w:val="24"/>
        </w:rPr>
        <w:t xml:space="preserve">Riedle-Bauer M, Paleskić C, Schönhuber C, Staples M &amp; Brade G (2022) Vector transmission and epidemiology of ‘Candidatus Phytoplasma pyri’ in Austria and identification of Cacopsylla pyrisuga as new pathogen vector. Journal of Plant Diseases and Protection 129, 375-386. </w:t>
      </w:r>
      <w:hyperlink r:id="rId60676a3fbac830b84" w:history="1">
        <w:r>
          <w:rPr>
            <w:color w:val="0200C9"/>
            <w:sz w:val="24"/>
            <w:szCs w:val="24"/>
          </w:rPr>
          <w:t xml:space="preserve">https://doi.org/10.1007/s41348-021-00526-y</w:t>
        </w:r>
      </w:hyperlink>
    </w:p>
    <w:p>
      <w:pPr>
        <w:numPr>
          <w:ilvl w:val="0"/>
          <w:numId w:val="1"/>
        </w:numPr>
        <w:spacing w:before="0" w:after="0" w:line="240" w:lineRule="auto"/>
        <w:jc w:val="left"/>
        <w:rPr>
          <w:color w:val="0200C9"/>
          <w:sz w:val="24"/>
          <w:szCs w:val="24"/>
        </w:rPr>
      </w:pPr>
      <w:r>
        <w:rPr>
          <w:color w:val="0200C9"/>
          <w:sz w:val="24"/>
          <w:szCs w:val="24"/>
        </w:rPr>
        <w:t xml:space="preserve">Shaltiel-Harpaz L, Gerchman Y, Ibdah M, Kedoshim R, Rachmany D, Hatib K, Bar-Ya'akov I, Soroker V &amp; Holland D (2018) Grafting on resistant interstocks reduces scion susceptibility to pear psylla, Cacopsylla bidens. Pest Management Science 74(3), 617-626.</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Trapman M &amp; Blommers L (1992) An attempt to pear sucker management in the Netherlands. J. Appl. Ent., 114: 38-51.</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 91-111. doi: 10.1146/annurev.ento.51.110104.151039. PMID: 16332205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25174">
    <w:multiLevelType w:val="hybridMultilevel"/>
    <w:lvl w:ilvl="0" w:tplc="91708766">
      <w:start w:val="1"/>
      <w:numFmt w:val="decimal"/>
      <w:lvlText w:val="%1."/>
      <w:lvlJc w:val="left"/>
      <w:pPr>
        <w:ind w:left="720" w:hanging="360"/>
      </w:pPr>
    </w:lvl>
    <w:lvl w:ilvl="1" w:tplc="91708766" w:tentative="1">
      <w:start w:val="1"/>
      <w:numFmt w:val="lowerLetter"/>
      <w:lvlText w:val="%2."/>
      <w:lvlJc w:val="left"/>
      <w:pPr>
        <w:ind w:left="1440" w:hanging="360"/>
      </w:pPr>
    </w:lvl>
    <w:lvl w:ilvl="2" w:tplc="91708766" w:tentative="1">
      <w:start w:val="1"/>
      <w:numFmt w:val="lowerRoman"/>
      <w:lvlText w:val="%3."/>
      <w:lvlJc w:val="right"/>
      <w:pPr>
        <w:ind w:left="2160" w:hanging="180"/>
      </w:pPr>
    </w:lvl>
    <w:lvl w:ilvl="3" w:tplc="91708766" w:tentative="1">
      <w:start w:val="1"/>
      <w:numFmt w:val="decimal"/>
      <w:lvlText w:val="%4."/>
      <w:lvlJc w:val="left"/>
      <w:pPr>
        <w:ind w:left="2880" w:hanging="360"/>
      </w:pPr>
    </w:lvl>
    <w:lvl w:ilvl="4" w:tplc="91708766" w:tentative="1">
      <w:start w:val="1"/>
      <w:numFmt w:val="lowerLetter"/>
      <w:lvlText w:val="%5."/>
      <w:lvlJc w:val="left"/>
      <w:pPr>
        <w:ind w:left="3600" w:hanging="360"/>
      </w:pPr>
    </w:lvl>
    <w:lvl w:ilvl="5" w:tplc="91708766" w:tentative="1">
      <w:start w:val="1"/>
      <w:numFmt w:val="lowerRoman"/>
      <w:lvlText w:val="%6."/>
      <w:lvlJc w:val="right"/>
      <w:pPr>
        <w:ind w:left="4320" w:hanging="180"/>
      </w:pPr>
    </w:lvl>
    <w:lvl w:ilvl="6" w:tplc="91708766" w:tentative="1">
      <w:start w:val="1"/>
      <w:numFmt w:val="decimal"/>
      <w:lvlText w:val="%7."/>
      <w:lvlJc w:val="left"/>
      <w:pPr>
        <w:ind w:left="5040" w:hanging="360"/>
      </w:pPr>
    </w:lvl>
    <w:lvl w:ilvl="7" w:tplc="91708766" w:tentative="1">
      <w:start w:val="1"/>
      <w:numFmt w:val="lowerLetter"/>
      <w:lvlText w:val="%8."/>
      <w:lvlJc w:val="left"/>
      <w:pPr>
        <w:ind w:left="5760" w:hanging="360"/>
      </w:pPr>
    </w:lvl>
    <w:lvl w:ilvl="8" w:tplc="91708766" w:tentative="1">
      <w:start w:val="1"/>
      <w:numFmt w:val="lowerRoman"/>
      <w:lvlText w:val="%9."/>
      <w:lvlJc w:val="right"/>
      <w:pPr>
        <w:ind w:left="6480" w:hanging="180"/>
      </w:pPr>
    </w:lvl>
  </w:abstractNum>
  <w:abstractNum w:abstractNumId="66125173">
    <w:multiLevelType w:val="hybridMultilevel"/>
    <w:lvl w:ilvl="0" w:tplc="30251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25173">
    <w:abstractNumId w:val="66125173"/>
  </w:num>
  <w:num w:numId="66125174">
    <w:abstractNumId w:val="66125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284061" Type="http://schemas.microsoft.com/office/2011/relationships/commentsExtended" Target="commentsExtended.xml"/><Relationship Id="rId64916a3fbac82fc36" Type="http://schemas.openxmlformats.org/officeDocument/2006/relationships/hyperlink" Target="https://doi.org/10.3897/BDJ.3.e5848" TargetMode="External"/><Relationship Id="rId78116a3fbac82fc71" Type="http://schemas.openxmlformats.org/officeDocument/2006/relationships/hyperlink" Target="https://bladmineerders.nl/parasites/animalia/arthropoda/insecta/hemiptera/sternorrhyncha/psylloidea/psyllidae/psyllinae/cacopsylla/" TargetMode="External"/><Relationship Id="rId45536a3fbac82fd75" Type="http://schemas.openxmlformats.org/officeDocument/2006/relationships/hyperlink" Target="https://doi.org/10.1093/jee/97.1.8" TargetMode="External"/><Relationship Id="rId11146a3fbac830291" Type="http://schemas.openxmlformats.org/officeDocument/2006/relationships/hyperlink" Target="https://dafne.at/content/report_release/fa851e7f-3a03-4c13-9b1e-259195adbb16_1.pdf" TargetMode="External"/><Relationship Id="rId86256a3fbac8302ed" Type="http://schemas.openxmlformats.org/officeDocument/2006/relationships/hyperlink" Target="https://doi.org/10.1007/s10340-023-01699-1" TargetMode="External"/><Relationship Id="rId12296a3fbac8303c2" Type="http://schemas.openxmlformats.org/officeDocument/2006/relationships/hyperlink" Target="https://doi.org/10.1111/aab.12340" TargetMode="External"/><Relationship Id="rId87516a3fbac8303ec" Type="http://schemas.openxmlformats.org/officeDocument/2006/relationships/hyperlink" Target="https://www.pflanzenkrankheiten.ch/krankheiten-an-kulturpflanzen-2/kern-steinobst/krankheiten-apfel/cacopsylla-mali-apfel#:~:text=Der%20Apfelblattsauger%20" TargetMode="External"/><Relationship Id="rId16256a3fbac8309a0" Type="http://schemas.openxmlformats.org/officeDocument/2006/relationships/hyperlink" Target="http://cdn.intechopen.com/pdfs-wm/28270.pdf" TargetMode="External"/><Relationship Id="rId24046a3fbac8309ef" Type="http://schemas.openxmlformats.org/officeDocument/2006/relationships/hyperlink" Target="https://doi.org/10.1093/aesa/saad025" TargetMode="External"/><Relationship Id="rId98206a3fbac830a6e" Type="http://schemas.openxmlformats.org/officeDocument/2006/relationships/hyperlink" Target="https://doi.org/10.1007/978-1-4020-6359-6_2818" TargetMode="External"/><Relationship Id="rId93226a3fbac830b33" Type="http://schemas.openxmlformats.org/officeDocument/2006/relationships/hyperlink" Target="https://doi.org/10.1111/aab.12340" TargetMode="External"/><Relationship Id="rId60676a3fbac830b84" Type="http://schemas.openxmlformats.org/officeDocument/2006/relationships/hyperlink" Target="https://doi.org/10.1007/s41348-021-00526-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