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(Ti-plasmid) {Agrobacterium tumefaciens} (AGRBTU)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 tumefaciens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genus Agrobacterium (= Rhizobium) can carry plasmids which, in the case of a Ti-plasmid (tumour-inducing plasmid) can induce galls or tumors (crown gall) in many different host plants.</w:t>
      </w:r>
      <w:r>
        <w:rPr>
          <w:color w:val="0200C9"/>
          <w:sz w:val="24"/>
          <w:szCs w:val="24"/>
        </w:rPr>
        <w:br/>
        <w:t xml:space="preserve">Crown gall infections result following transfer of a part of the Ti-plasmid (T-DNA) into the host plant. T-DNA expression induces an overproduction of plant hormones which stimulate plant cell division and enlargement, i.e. gall formation. Bacteria without this plasmid are non pathogenic (Moore, revised by Burr,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br/>
        <w:t xml:space="preserve">In walnut both species/biovars are reported:</w:t>
      </w:r>
      <w:r>
        <w:rPr>
          <w:color w:val="0200C9"/>
          <w:sz w:val="24"/>
          <w:szCs w:val="24"/>
        </w:rPr>
        <w:br/>
        <w:t xml:space="preserve">1) Agrobacterium tumefaciens biovar 1 = Agrobacterium radiobacter = Rhizobium radiobacter (note: with Ti-plasmid: Agrobacterium tumefaciens, without Ti-plasmid Agrobacterium radiobacter - taxonomic discussion on whether presence/absence of a plasmid could determine the name), this datasheet is on bacterium 1) not 2)</w:t>
      </w:r>
      <w:r>
        <w:rPr>
          <w:color w:val="0200C9"/>
          <w:sz w:val="24"/>
          <w:szCs w:val="24"/>
        </w:rPr>
        <w:br/>
        <w:t xml:space="preserve">2) Agrobacterium tumefaciens biovar 2 = Rhizobium rhizogenes</w:t>
      </w:r>
      <w:r>
        <w:rPr>
          <w:color w:val="0200C9"/>
          <w:sz w:val="24"/>
          <w:szCs w:val="24"/>
        </w:rPr>
        <w:br/>
        <w:t xml:space="preserve">Both bacteria can have a tumour-inducing plasmid (Ti-plasmid), both can infect walnut. Bacteria without plasmid do not cause disease.</w:t>
      </w:r>
      <w:r>
        <w:rPr>
          <w:color w:val="0200C9"/>
          <w:sz w:val="24"/>
          <w:szCs w:val="24"/>
        </w:rPr>
        <w:br/>
        <w:t xml:space="preserve">Remark: Both bacteria can also have a rhizome-inducing plasmid (Ri-plasmid), causing hairy roots or crazy roots.</w:t>
      </w:r>
      <w:r>
        <w:rPr>
          <w:color w:val="0200C9"/>
          <w:sz w:val="24"/>
          <w:szCs w:val="24"/>
        </w:rPr>
        <w:br/>
        <w:t xml:space="preserve">In walnut, the EWG considered that 'Agrobacterium with Ti-plasmid' was the pest of concern. Since the Ti-plasmid may be exchanged with other Agrobacterium species, the Fruit SEWG recommended to replace 'Agrobacterium tumefasciens' by 'Agrobacterium'.</w:t>
      </w:r>
      <w:r>
        <w:rPr>
          <w:color w:val="0200C9"/>
          <w:sz w:val="24"/>
          <w:szCs w:val="24"/>
        </w:rPr>
        <w:br/>
        <w:br/>
        <w:t xml:space="preserve">For similar reasons, 'Agrobacterium with Ti-plasmid' is also the pest of concern for all the other concerned host plants.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Cyprus (2011); Czech Republic (2011); Denmark (1993); Estonia (1992); Finland (1992); France (1993); Germany (1993); Greece (1992); Hungary (1992); Italy (1992); Netherlands (1992); Poland (2015); Romania (1992); Slovakia (2003); Spain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4776a7b26b6d24d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The bacteria survive in gall tissue and in soil. They enter only through wounds. Crown gall is most damaging to young trees, either in the nursery or in new plantings (UC PMG, 2017c).</w:t>
      </w:r>
      <w:r>
        <w:rPr>
          <w:color w:val="606060"/>
          <w:sz w:val="24"/>
          <w:szCs w:val="24"/>
        </w:rPr>
        <w:br/>
        <w:t xml:space="preserve">Galls develop at wound sites and, when small, can be confused with normal callus tissue (Burr, 1995).</w:t>
      </w:r>
      <w:r>
        <w:rPr>
          <w:color w:val="606060"/>
          <w:sz w:val="24"/>
          <w:szCs w:val="24"/>
        </w:rPr>
        <w:br/>
        <w:t xml:space="preserve">Reports vary as to the effects of crown gall on plant growth. Some indicate that galls on young plants can reduce root development and plant vigour, but in at least one experiment on cherry, no significant adverse effect was detected. Heavily galled plants in nurseries may be stunted and show chlorotic leaf growth. However, crown gall may remain undetected for years in mature orchards and become apparent only when removal of trees exposes the diseased roots (Burr, 1995).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84676a7b26b6d5df4"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23686a7b26b6d5e8b"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99916a7b26b6d5ebd"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15596a7b26b6d5f02"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68696a7b26b6d5f40"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437979">
    <w:multiLevelType w:val="hybridMultilevel"/>
    <w:lvl w:ilvl="0" w:tplc="53760832">
      <w:start w:val="1"/>
      <w:numFmt w:val="decimal"/>
      <w:lvlText w:val="%1."/>
      <w:lvlJc w:val="left"/>
      <w:pPr>
        <w:ind w:left="720" w:hanging="360"/>
      </w:pPr>
    </w:lvl>
    <w:lvl w:ilvl="1" w:tplc="53760832" w:tentative="1">
      <w:start w:val="1"/>
      <w:numFmt w:val="lowerLetter"/>
      <w:lvlText w:val="%2."/>
      <w:lvlJc w:val="left"/>
      <w:pPr>
        <w:ind w:left="1440" w:hanging="360"/>
      </w:pPr>
    </w:lvl>
    <w:lvl w:ilvl="2" w:tplc="53760832" w:tentative="1">
      <w:start w:val="1"/>
      <w:numFmt w:val="lowerRoman"/>
      <w:lvlText w:val="%3."/>
      <w:lvlJc w:val="right"/>
      <w:pPr>
        <w:ind w:left="2160" w:hanging="180"/>
      </w:pPr>
    </w:lvl>
    <w:lvl w:ilvl="3" w:tplc="53760832" w:tentative="1">
      <w:start w:val="1"/>
      <w:numFmt w:val="decimal"/>
      <w:lvlText w:val="%4."/>
      <w:lvlJc w:val="left"/>
      <w:pPr>
        <w:ind w:left="2880" w:hanging="360"/>
      </w:pPr>
    </w:lvl>
    <w:lvl w:ilvl="4" w:tplc="53760832" w:tentative="1">
      <w:start w:val="1"/>
      <w:numFmt w:val="lowerLetter"/>
      <w:lvlText w:val="%5."/>
      <w:lvlJc w:val="left"/>
      <w:pPr>
        <w:ind w:left="3600" w:hanging="360"/>
      </w:pPr>
    </w:lvl>
    <w:lvl w:ilvl="5" w:tplc="53760832" w:tentative="1">
      <w:start w:val="1"/>
      <w:numFmt w:val="lowerRoman"/>
      <w:lvlText w:val="%6."/>
      <w:lvlJc w:val="right"/>
      <w:pPr>
        <w:ind w:left="4320" w:hanging="180"/>
      </w:pPr>
    </w:lvl>
    <w:lvl w:ilvl="6" w:tplc="53760832" w:tentative="1">
      <w:start w:val="1"/>
      <w:numFmt w:val="decimal"/>
      <w:lvlText w:val="%7."/>
      <w:lvlJc w:val="left"/>
      <w:pPr>
        <w:ind w:left="5040" w:hanging="360"/>
      </w:pPr>
    </w:lvl>
    <w:lvl w:ilvl="7" w:tplc="53760832" w:tentative="1">
      <w:start w:val="1"/>
      <w:numFmt w:val="lowerLetter"/>
      <w:lvlText w:val="%8."/>
      <w:lvlJc w:val="left"/>
      <w:pPr>
        <w:ind w:left="5760" w:hanging="360"/>
      </w:pPr>
    </w:lvl>
    <w:lvl w:ilvl="8" w:tplc="53760832" w:tentative="1">
      <w:start w:val="1"/>
      <w:numFmt w:val="lowerRoman"/>
      <w:lvlText w:val="%9."/>
      <w:lvlJc w:val="right"/>
      <w:pPr>
        <w:ind w:left="6480" w:hanging="180"/>
      </w:pPr>
    </w:lvl>
  </w:abstractNum>
  <w:abstractNum w:abstractNumId="87437978">
    <w:multiLevelType w:val="hybridMultilevel"/>
    <w:lvl w:ilvl="0" w:tplc="132639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437978">
    <w:abstractNumId w:val="87437978"/>
  </w:num>
  <w:num w:numId="87437979">
    <w:abstractNumId w:val="874379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3871779" Type="http://schemas.microsoft.com/office/2011/relationships/commentsExtended" Target="commentsExtended.xml"/><Relationship Id="rId14776a7b26b6d24db" Type="http://schemas.openxmlformats.org/officeDocument/2006/relationships/hyperlink" Target="https://gd.eppo.int/" TargetMode="External"/><Relationship Id="rId84676a7b26b6d5df4" Type="http://schemas.openxmlformats.org/officeDocument/2006/relationships/hyperlink" Target="https://www.cabidigitallibrary.org/doi/10.1079/cabicompendium.3745" TargetMode="External"/><Relationship Id="rId23686a7b26b6d5e8b" Type="http://schemas.openxmlformats.org/officeDocument/2006/relationships/hyperlink" Target="https://ucanr.edu/blogs/blogcore/postdetail.cfm?postnum=28927" TargetMode="External"/><Relationship Id="rId99916a7b26b6d5ebd" Type="http://schemas.openxmlformats.org/officeDocument/2006/relationships/hyperlink" Target="http://californiaagriculture.ucanr.org/landingpage.cfm?article=ca.v059n04p249&amp;fulltext=yes" TargetMode="External"/><Relationship Id="rId15596a7b26b6d5f02" Type="http://schemas.openxmlformats.org/officeDocument/2006/relationships/hyperlink" Target="https://www.apsnet.org/edcenter/disandpath/prokaryote/pdlessons/Pages/CrownGall.aspx" TargetMode="External"/><Relationship Id="rId68696a7b26b6d5f40" Type="http://schemas.openxmlformats.org/officeDocument/2006/relationships/hyperlink" Target="https://cekings.ucanr.edu/files/1937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