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asteris (PHYPAS)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asteris’ (Blueberry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clover phyllody phytoplasma. All these phytoplasmas are associated with leaf yellowing symptoms, but just some of them are responsible for green petal symptoms (this includes the Clover phyllody phytoplasma and ‘Candidatus Phytoplasma australiense’).</w:t>
      </w:r>
      <w:r>
        <w:rPr>
          <w:color w:val="0200C9"/>
          <w:sz w:val="24"/>
          <w:szCs w:val="24"/>
        </w:rPr>
        <w:br/>
        <w:t xml:space="preserve">Consequently, ‘Candidatus Phytoplasma asteris’ was listed in the revised Marketing Directive for Fragaria and Vaccinium.</w:t>
      </w:r>
      <w:r>
        <w:rPr>
          <w:color w:val="0200C9"/>
          <w:sz w:val="24"/>
          <w:szCs w:val="24"/>
        </w:rPr>
        <w:b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Remark: Symptoms characteristic for phytoplasma disease in strawberry can be associated with different organisms (in Padovan et al. (2000) strawberry green petal (SGP) and strawberry lethal yellows (SLY): phytoplasma or Ricketssia sp). It is also possible that one phytoplasma may be associated with very different symptoms; factors that may account for the differences include the age of the plant at time of infection, the level of phytoplasmas inoculated at infection, and environmental factors including temperature. It is also possible that different symptoms of SGP and SLY represent disease progression (Padovan et al., 2000).</w:t>
      </w:r>
      <w:r>
        <w:rPr>
          <w:color w:val="0200C9"/>
          <w:sz w:val="24"/>
          <w:szCs w:val="24"/>
        </w:rPr>
        <w:br/>
        <w:t xml:space="preserve">Examples:</w:t>
      </w:r>
      <w:r>
        <w:rPr>
          <w:color w:val="0200C9"/>
          <w:sz w:val="24"/>
          <w:szCs w:val="24"/>
        </w:rPr>
        <w:br/>
        <w:t xml:space="preserve">• Strawberry green petal disease can be linked to three different phytoplasma species: ‘Ca. P. tritici' formerly 'asteris’-related strains 16SrI-C/16SrI-R (Contaldo et al, 2012; Harrison et al., 1997; Gundersen et al., 1996; Jomantiene et al., 2002), ‘Ca. P. hispanicum’-related strains 16SrXIII(A/I)I (Pérez-Lopéz &amp; Dumonceaux, 2016; Pérez-Lopéz et al., 2017), and ‘Ca. P. australiense’-related strains 16SrXII (Padovan et al., 2000) (cited from Brochu et al., 2021).</w:t>
      </w:r>
      <w:r>
        <w:rPr>
          <w:color w:val="0200C9"/>
          <w:sz w:val="24"/>
          <w:szCs w:val="24"/>
        </w:rPr>
        <w:br/>
        <w:t xml:space="preserve">• blueberry stunt disease is usually associated to Ca.P.asteris 16SrI-E, but also 16SrIX-E (‘Ca. P. phoenicium’-related) could be linked to blueberry stunt disease in New Jersey (Bagadia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(2019); Czech Republic (2011); Denmark (2019); France (1976); Germany (1993); Hungary (2020); Italy (2010); Romania (1976); Spain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106a0425f64b96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stunt phytoplasma'. However, when responding to the questionnaire, NL and PL supported deregulation in the EU. NL considered that this phytoplasma was never detected in Vaccinium and economic impact is therefore acceptable on this host. PL considered that plants for planting was not the main pathway. NL added that no effective and feasible measures were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‘Candidatus Phytoplasma asteris’ (and related strains) appears to have a wide host range. The vast majority of strains in the aster yellows (AY, 16SrI) group infect herbaceous dicotyledonous plant hosts. However, a number of strains that belong to subgroups 16SrI-A, 16SrI-B and 16SrI-C are capable of infecting monocotyledonous plants (e.g., maize, onion, gladiolus, oat, wheat and grass). Some strains in subgroups 16SrI-A, 16SrI-B, 16SrI-D, 16SrI-E, 16SrI-F and 16SrI-Q can induce disease in woody plants (e.g., grey dogwood, sandalwood, blueberry, mulberry, peach, cherry, olive, grapevine and paulownia). For many of the plant hosts which have previously been reported to be affected by AY diseases on the basis of symptomatology and/or microscopic examinations (see McCoy et al., 1989; cited in CABI, 2011), the identity of the infecting phytoplasmas has never been determined with molecular techniques, or proved to be different from that of other established AY phytoplasma strains (Schneider et al., 1997; Marcone et al., 2000).</w:t>
      </w:r>
      <w:r>
        <w:rPr>
          <w:color w:val="F30000"/>
          <w:sz w:val="24"/>
          <w:szCs w:val="24"/>
        </w:rPr>
        <w:br/>
        <w:t xml:space="preserve">‘Ca. P. asteris’ can cause blueberry stunt disease in Vaccinium corymbosum. Also rabbiteye blueberry (V. ashei), lowbush blueberry (V. angustifolium), V. stamineum, V. myrtilloides and lingonberry (V. vitis-idaea) can be naturally infected by ‘Ca. P. asteris’ (Ramsdell &amp; Polashock, 2017; Brochu et al., 2022; Cieslinska, 2011; Dale &amp; Mainland, 1981). The disease organism has been graft transmitted to V. altomontanum, V. amoenum, and V. elliottii (Ramsdell &amp; Polashock, 2017).</w:t>
      </w:r>
      <w:r>
        <w:rPr>
          <w:color w:val="F30000"/>
          <w:sz w:val="24"/>
          <w:szCs w:val="24"/>
        </w:rPr>
        <w:br/>
        <w:t xml:space="preserve">‘Candidatus Phytoplasma asteris’ is naturally transmitted by a wide range of leafhoppers. However, Macrosteles fascifrons [M. quadrilineatus] is reported to be the principal vector (Lee et al., 1998b, 2004; Weintraub &amp; Beanland, 2006). Blueberry stunt phytoplasma is spread by the sharp-nosed leafhopper Scaphytopius magdalensis. Controlled transmission experiments suggest that two additional species, Scaphytopius acutus and Scaphytopius frontalis, are also vectors in the USA (Ramsdell &amp; Polashock, 2017)</w:t>
      </w:r>
      <w:r>
        <w:rPr>
          <w:color w:val="F30000"/>
          <w:sz w:val="24"/>
          <w:szCs w:val="24"/>
        </w:rPr>
        <w:br/>
        <w:t xml:space="preserve">The phytoplasmas are seed transmitted, and there are reports of seed transmission for 'Ca. P. asteris' in several herbaceous species such as tomato, carrot, corn and others.</w:t>
      </w:r>
      <w:r>
        <w:rPr>
          <w:color w:val="F30000"/>
          <w:sz w:val="24"/>
          <w:szCs w:val="24"/>
        </w:rPr>
        <w:br/>
        <w:t xml:space="preserve">It may also be introduced into new areas where it may have never existed before by importing vegetative propagating materials that carry the pathogen undetected (CABI, 2011).</w:t>
      </w:r>
      <w:r>
        <w:rPr>
          <w:color w:val="F30000"/>
          <w:sz w:val="24"/>
          <w:szCs w:val="24"/>
        </w:rPr>
        <w:br/>
        <w:t xml:space="preserve">Considering the many hosts and the role of vectors in spreading the pest, the fruit SEWG considered that plant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Symptomatic bushes are dwarfed and decline over time compared with healthy bushes. Although flowers can appear normal, fruit set and berry size decrease following infection, and eventually, affected plants may fail to produce fruit (Ramsdell &amp;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Clean nursery stock is essential (Ramsdell &amp; Polashock, 2017)</w:t>
      </w:r>
      <w:r>
        <w:rPr>
          <w:color w:val="606060"/>
          <w:sz w:val="24"/>
          <w:szCs w:val="24"/>
        </w:rPr>
        <w:br/>
        <w:t xml:space="preserve">Targeted insecticide sprays to control leafhopper populations. This is feasible when there are two or less generations a year. However, in warmer climates, disease control may be more difficult to achieve because additional generations of leafhoppers may occur each year (Ramsdell &amp;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Arocha‐Rosete Y, Lambert L, Joly‐Séguin V, Michelutti R, Schilder A &amp; Bertaccini A (2019) Surveys reveal a complex association of phytoplasmas and viruses with the blueberry stunt disease on Canadian blueberry farms. Annals of Applied Biology 174(2), 142-152.</w:t>
      </w:r>
    </w:p>
    <w:p>
      <w:pPr>
        <w:numPr>
          <w:ilvl w:val="0"/>
          <w:numId w:val="1"/>
        </w:numPr>
        <w:spacing w:before="0" w:after="0" w:line="240" w:lineRule="auto"/>
        <w:jc w:val="left"/>
        <w:rPr>
          <w:color w:val="0200C9"/>
          <w:sz w:val="24"/>
          <w:szCs w:val="24"/>
        </w:rPr>
      </w:pPr>
      <w:r>
        <w:rPr>
          <w:color w:val="0200C9"/>
          <w:sz w:val="24"/>
          <w:szCs w:val="24"/>
        </w:rPr>
        <w:t xml:space="preserve">Bagadia PG, Polashock J, Bottner-Parke, KD, Zhao Y, Davis RE &amp; Lee IM (2013) Characterization and molecular differentiation of 16SrI-E and 16SrIX-E phytoplasmas associated with blueberry stunt disease in New Jersey. Molecular and Cellular Probes 27(2), 90-97.</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Brochu AS, Methot A, Breton AM, Lacroix C, Légaré JP &amp; Pérez‐López E (2022) First report of a ‘Candidatus Phytoplasma asteris’ strain affecting lingonberry (Vaccinium vitis‐idaea) and causing lingonberry stunt phytoplasma disease. New Disease Reports 45(1), 12058.</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83516a0425f64be56"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Cieslinska M (2011) Viruses and phytoplasmas of small fruit plants maintained in collection of Institute of Horticulture in Skierniewice, Poland. IOBC/WPRS Bulletin 70, 69-74.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Dale JL &amp; Mainland CM (1981) Stunt disease in rabbiteye blueberry. HortScience 16, 313-314.</w:t>
      </w:r>
    </w:p>
    <w:p>
      <w:pPr>
        <w:numPr>
          <w:ilvl w:val="0"/>
          <w:numId w:val="1"/>
        </w:numPr>
        <w:spacing w:before="0" w:after="0" w:line="240" w:lineRule="auto"/>
        <w:jc w:val="left"/>
        <w:rPr>
          <w:color w:val="0200C9"/>
          <w:sz w:val="24"/>
          <w:szCs w:val="24"/>
        </w:rPr>
      </w:pPr>
      <w:r>
        <w:rPr>
          <w:color w:val="0200C9"/>
          <w:sz w:val="24"/>
          <w:szCs w:val="24"/>
        </w:rPr>
        <w:t xml:space="preserve">Ferriol-Marchena X, Hernández-Rodríguez L, Luis-Pantoja M, García-García G, Banguela-Castillo A &amp; Pérez JM (2013). First report of a 'Candidatus Phytoplasma asteris' isolate affecting a strawberry nursery in Cuba. New Disease Reports 28(1), 19.</w:t>
      </w:r>
    </w:p>
    <w:p>
      <w:pPr>
        <w:numPr>
          <w:ilvl w:val="0"/>
          <w:numId w:val="1"/>
        </w:numPr>
        <w:spacing w:before="0" w:after="0" w:line="240" w:lineRule="auto"/>
        <w:jc w:val="left"/>
        <w:rPr>
          <w:color w:val="0200C9"/>
          <w:sz w:val="24"/>
          <w:szCs w:val="24"/>
        </w:rPr>
      </w:pPr>
      <w:r>
        <w:rPr>
          <w:color w:val="0200C9"/>
          <w:sz w:val="24"/>
          <w:szCs w:val="24"/>
        </w:rPr>
        <w:t xml:space="preserve">Gundersen DE, Lee IM, Schaff DA, Harrison NA, Chang CJ, Davis RE &amp; Kingsbury DT (1996). Genomic diversity and differentiation among phytoplasma strains in 16S rRNA groups I (aster yellows and related phytoplasmas) and III (X-disease and related phytoplasmas). International Journal of Systematic and Evolutionary Microbiology 46(1), 64-75.</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and Evolutionary Microbiology 48, 269-277. </w:t>
      </w:r>
      <w:hyperlink r:id="rId26636a0425f64bf33" w:history="1">
        <w:r>
          <w:rPr>
            <w:color w:val="0200C9"/>
            <w:sz w:val="24"/>
            <w:szCs w:val="24"/>
          </w:rPr>
          <w:t xml:space="preserve">http://dx.doi.org/10.1099/00207713-48-1-269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Jomantiene R, Maas JL, Takeda F &amp; Davis RE (2002) Molecular identification and classification of strawberry phylloid fruit phytoplasma in group 16SRI, new subgroup. Plant Disease 86, 920. </w:t>
      </w:r>
      <w:hyperlink r:id="rId99946a0425f64bf69" w:history="1">
        <w:r>
          <w:rPr>
            <w:color w:val="0200C9"/>
            <w:sz w:val="24"/>
            <w:szCs w:val="24"/>
          </w:rPr>
          <w:t xml:space="preserve">http://dx.doi.org/10.1094/PDIS.2002.86.8.920C</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88(12), 1359-1366.</w:t>
      </w:r>
    </w:p>
    <w:p>
      <w:pPr>
        <w:numPr>
          <w:ilvl w:val="0"/>
          <w:numId w:val="1"/>
        </w:numPr>
        <w:spacing w:before="0" w:after="0" w:line="240" w:lineRule="auto"/>
        <w:jc w:val="left"/>
        <w:rPr>
          <w:color w:val="0200C9"/>
          <w:sz w:val="24"/>
          <w:szCs w:val="24"/>
        </w:rPr>
      </w:pPr>
      <w:r>
        <w:rPr>
          <w:color w:val="0200C9"/>
          <w:sz w:val="24"/>
          <w:szCs w:val="24"/>
        </w:rPr>
        <w:t xml:space="preserve">Marcone C, Lee I-M, Davis RE, Ragozzino A &amp; Seemüller E (2000). Classification of aster yellows-group phytoplasmas based on combined analyses of ribosomal RNA and tuf gene sequences. International Journal of Systematic and Evolutionary Microbiology 50: 1703-1713.</w:t>
      </w:r>
    </w:p>
    <w:p>
      <w:pPr>
        <w:numPr>
          <w:ilvl w:val="0"/>
          <w:numId w:val="1"/>
        </w:numPr>
        <w:spacing w:before="0" w:after="0" w:line="240" w:lineRule="auto"/>
        <w:jc w:val="left"/>
        <w:rPr>
          <w:color w:val="0200C9"/>
          <w:sz w:val="24"/>
          <w:szCs w:val="24"/>
        </w:rPr>
      </w:pPr>
      <w:r>
        <w:rPr>
          <w:color w:val="0200C9"/>
          <w:sz w:val="24"/>
          <w:szCs w:val="24"/>
        </w:rPr>
        <w:t xml:space="preserve">McCoy RE, Caudwell A, Chang CJ, Chen TA, Chiykowski LN, Cousin MT, Dale JL, de Leeuw GTN, Golino DA, Hackett KJ, Kirkpatrick BC, Marwitz R, Petzold H, Sinha RC, Sugiura M, Whitcomb RF, Yang IL, Zhu BM &amp; Seemüller E (1989) Plant diseases associated with mycoplasma-like organisms. In The Mycoplasmas, Vol. V (eds Whitcomb RF &amp; Tully). San Diego, USA: Academic Press, 545-640.</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Ramsdell DC &amp; Polashock JJ (2017) Stunt. In Compendium of blueberry, cranberry, and lingonberry diseases and pests, 2nd edition (eds Polashock JJ, Caruso FL, Averill AL &amp; Schilder AC). American Phytopathological Society, St Paul, MN, USA pages 84-85</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98721">
    <w:multiLevelType w:val="hybridMultilevel"/>
    <w:lvl w:ilvl="0" w:tplc="68850146">
      <w:start w:val="1"/>
      <w:numFmt w:val="decimal"/>
      <w:lvlText w:val="%1."/>
      <w:lvlJc w:val="left"/>
      <w:pPr>
        <w:ind w:left="720" w:hanging="360"/>
      </w:pPr>
    </w:lvl>
    <w:lvl w:ilvl="1" w:tplc="68850146" w:tentative="1">
      <w:start w:val="1"/>
      <w:numFmt w:val="lowerLetter"/>
      <w:lvlText w:val="%2."/>
      <w:lvlJc w:val="left"/>
      <w:pPr>
        <w:ind w:left="1440" w:hanging="360"/>
      </w:pPr>
    </w:lvl>
    <w:lvl w:ilvl="2" w:tplc="68850146" w:tentative="1">
      <w:start w:val="1"/>
      <w:numFmt w:val="lowerRoman"/>
      <w:lvlText w:val="%3."/>
      <w:lvlJc w:val="right"/>
      <w:pPr>
        <w:ind w:left="2160" w:hanging="180"/>
      </w:pPr>
    </w:lvl>
    <w:lvl w:ilvl="3" w:tplc="68850146" w:tentative="1">
      <w:start w:val="1"/>
      <w:numFmt w:val="decimal"/>
      <w:lvlText w:val="%4."/>
      <w:lvlJc w:val="left"/>
      <w:pPr>
        <w:ind w:left="2880" w:hanging="360"/>
      </w:pPr>
    </w:lvl>
    <w:lvl w:ilvl="4" w:tplc="68850146" w:tentative="1">
      <w:start w:val="1"/>
      <w:numFmt w:val="lowerLetter"/>
      <w:lvlText w:val="%5."/>
      <w:lvlJc w:val="left"/>
      <w:pPr>
        <w:ind w:left="3600" w:hanging="360"/>
      </w:pPr>
    </w:lvl>
    <w:lvl w:ilvl="5" w:tplc="68850146" w:tentative="1">
      <w:start w:val="1"/>
      <w:numFmt w:val="lowerRoman"/>
      <w:lvlText w:val="%6."/>
      <w:lvlJc w:val="right"/>
      <w:pPr>
        <w:ind w:left="4320" w:hanging="180"/>
      </w:pPr>
    </w:lvl>
    <w:lvl w:ilvl="6" w:tplc="68850146" w:tentative="1">
      <w:start w:val="1"/>
      <w:numFmt w:val="decimal"/>
      <w:lvlText w:val="%7."/>
      <w:lvlJc w:val="left"/>
      <w:pPr>
        <w:ind w:left="5040" w:hanging="360"/>
      </w:pPr>
    </w:lvl>
    <w:lvl w:ilvl="7" w:tplc="68850146" w:tentative="1">
      <w:start w:val="1"/>
      <w:numFmt w:val="lowerLetter"/>
      <w:lvlText w:val="%8."/>
      <w:lvlJc w:val="left"/>
      <w:pPr>
        <w:ind w:left="5760" w:hanging="360"/>
      </w:pPr>
    </w:lvl>
    <w:lvl w:ilvl="8" w:tplc="68850146" w:tentative="1">
      <w:start w:val="1"/>
      <w:numFmt w:val="lowerRoman"/>
      <w:lvlText w:val="%9."/>
      <w:lvlJc w:val="right"/>
      <w:pPr>
        <w:ind w:left="6480" w:hanging="180"/>
      </w:pPr>
    </w:lvl>
  </w:abstractNum>
  <w:abstractNum w:abstractNumId="76498720">
    <w:multiLevelType w:val="hybridMultilevel"/>
    <w:lvl w:ilvl="0" w:tplc="27389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98720">
    <w:abstractNumId w:val="76498720"/>
  </w:num>
  <w:num w:numId="76498721">
    <w:abstractNumId w:val="764987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9279612" Type="http://schemas.microsoft.com/office/2011/relationships/commentsExtended" Target="commentsExtended.xml"/><Relationship Id="rId48106a0425f64b963" Type="http://schemas.openxmlformats.org/officeDocument/2006/relationships/hyperlink" Target="https://gd.eppo.int/" TargetMode="External"/><Relationship Id="rId83516a0425f64be56" Type="http://schemas.openxmlformats.org/officeDocument/2006/relationships/hyperlink" Target="https://doi.org/10.1079/cabicompendium.7642" TargetMode="External"/><Relationship Id="rId26636a0425f64bf33" Type="http://schemas.openxmlformats.org/officeDocument/2006/relationships/hyperlink" Target="http://dx.doi.org/10.1099/00207713-48-1-269" TargetMode="External"/><Relationship Id="rId99946a0425f64bf69" Type="http://schemas.openxmlformats.org/officeDocument/2006/relationships/hyperlink" Target="http://dx.doi.org/10.1094/PDIS.2002.86.8.920C"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