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Agrobacterium (Ti-plasmid) {Agrobacterium tumefaciens} (AGRBTU)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Agrobacterium tumefaciens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genus Agrobacterium (= Rhizobium) can carry plasmids which, in the case of a Ti-plasmid (tumour-inducing plasmid) can induce galls or tumors (crown gall) in many different host plants.</w:t>
      </w:r>
      <w:r>
        <w:rPr>
          <w:color w:val="0200C9"/>
          <w:sz w:val="24"/>
          <w:szCs w:val="24"/>
        </w:rPr>
        <w:br/>
        <w:t xml:space="preserve">Crown gall infections result following transfer of a part of the Ti-plasmid (T-DNA) into the host plant. T-DNA expression induces an overproduction of plant hormones which stimulate plant cell division and enlargement, i.e. gall formation. Bacteria without this plasmid are non pathogenic (Moore, revised by Burr, 2017).</w:t>
      </w:r>
      <w:r>
        <w:rPr>
          <w:color w:val="0200C9"/>
          <w:sz w:val="24"/>
          <w:szCs w:val="24"/>
        </w:rPr>
        <w:br/>
        <w:t xml:space="preserve">Considering host-plant range: Bradbury (1986, cited in CABI 2021) listed 391 susceptible plant genera which have been reported with crown gall symptoms, many of which have multiple susceptible species within the genus. Crown gall disease, however, has been reported on only a few of these plant species in their natural habitat. Reference strains from relatively few host plant species are held in public collections (CABI 2021). Typically, isolates from nature exhibit some degree of host specificity (limited host range) (Anderson &amp; Moore, 1979; Moore &amp; Cooksey, 1981, cited in CABI, 2021). The concept of a limited host range for Rhizobium strains contrasts with the widely published idea of a wide host range (de Cleene &amp; de Ley, 1976). A reason for this seeming discrepancy is that most research on host range is based on “artificial” laboratory inoculations, resulting in a wide host range. There is strong evidence from molecular studies that host range is controlled by genes on the Ti plasmid and the bacterial chromosome (Loper &amp; Kado, 1979; Close et al., 1985; Huang et al., 1990; D’Souza et al., 1993, cited in CABI, 2021).</w:t>
      </w:r>
      <w:r>
        <w:rPr>
          <w:color w:val="0200C9"/>
          <w:sz w:val="24"/>
          <w:szCs w:val="24"/>
        </w:rPr>
        <w:br/>
        <w:br/>
        <w:t xml:space="preserve">In walnut both species/biovars are reported:</w:t>
      </w:r>
      <w:r>
        <w:rPr>
          <w:color w:val="0200C9"/>
          <w:sz w:val="24"/>
          <w:szCs w:val="24"/>
        </w:rPr>
        <w:br/>
        <w:t xml:space="preserve">1) Agrobacterium tumefaciens biovar 1 = Agrobacterium radiobacter = Rhizobium radiobacter (note: with Ti-plasmid: Agrobacterium tumefaciens, without Ti-plasmid Agrobacterium radiobacter - taxonomic discussion on whether presence/absence of a plasmid could determine the name), this datasheet is on bacterium 1) not 2)</w:t>
      </w:r>
      <w:r>
        <w:rPr>
          <w:color w:val="0200C9"/>
          <w:sz w:val="24"/>
          <w:szCs w:val="24"/>
        </w:rPr>
        <w:br/>
        <w:t xml:space="preserve">2) Agrobacterium tumefaciens biovar 2 = Rhizobium rhizogenes</w:t>
      </w:r>
      <w:r>
        <w:rPr>
          <w:color w:val="0200C9"/>
          <w:sz w:val="24"/>
          <w:szCs w:val="24"/>
        </w:rPr>
        <w:br/>
        <w:t xml:space="preserve">Both bacteria can have a tumour-inducing plasmid (Ti-plasmid), both can infect walnut. Bacteria without plasmid do not cause disease.</w:t>
      </w:r>
      <w:r>
        <w:rPr>
          <w:color w:val="0200C9"/>
          <w:sz w:val="24"/>
          <w:szCs w:val="24"/>
        </w:rPr>
        <w:br/>
        <w:t xml:space="preserve">Remark: Both bacteria can also have a rhizome-inducing plasmid (Ri-plasmid), causing hairy roots or crazy roots.</w:t>
      </w:r>
      <w:r>
        <w:rPr>
          <w:color w:val="0200C9"/>
          <w:sz w:val="24"/>
          <w:szCs w:val="24"/>
        </w:rPr>
        <w:br/>
        <w:t xml:space="preserve">In walnut, the EWG considered that 'Agrobacterium with Ti-plasmid' was the pest of concern. Since the Ti-plasmid may be exchanged with other Agrobacterium species, the Fruit SEWG recommended to replace 'Agrobacterium tumefasciens' by 'Agrobacterium'.</w:t>
      </w:r>
      <w:r>
        <w:rPr>
          <w:color w:val="0200C9"/>
          <w:sz w:val="24"/>
          <w:szCs w:val="24"/>
        </w:rPr>
        <w:br/>
        <w:br/>
        <w:t xml:space="preserve">For similar reasons, 'Agrobacterium with Ti-plasmid' is also the pest of concern for all the other concerned host plants.</w:t>
      </w:r>
      <w:r>
        <w:rPr>
          <w:color w:val="0200C9"/>
          <w:sz w:val="24"/>
          <w:szCs w:val="24"/>
        </w:rPr>
        <w:br/>
        <w:br/>
        <w:t xml:space="preserve">Although the disease is not caused by a clear single taxonomic entity (if considering the bacteria), this criteria can be considered as fulfilled when considering the Ti-plasmid.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Cyprus (2011); Czech Republic (2011); Denmark (1993); Estonia (1992); Finland (1992); France (1993); Germany (1993); Greece (1992); Hungary (1992); Italy (1992); Netherlands (1992); Poland (2015); Romania (1992); Slovakia (2003); Spain (1992);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0596a3fb6c99907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Assessment of the economic impact is done for Prunus in general.</w:t>
      </w:r>
      <w:r>
        <w:rPr>
          <w:color w:val="606060"/>
          <w:sz w:val="24"/>
          <w:szCs w:val="24"/>
        </w:rPr>
        <w:br/>
        <w:t xml:space="preserve">Crown gall disease results in rough, abnormal galls on roots or trunk. Galls are soft and spongy, not hard.</w:t>
      </w:r>
      <w:r>
        <w:rPr>
          <w:color w:val="606060"/>
          <w:sz w:val="24"/>
          <w:szCs w:val="24"/>
        </w:rPr>
        <w:br/>
        <w:t xml:space="preserve">The centers of older galls decay. Young trees become stunted; older trees often develop secondary wood Rots. Crown gall bacteria survive in gall tissue and in the soil. They enter the tree only through wounds. Crown gall is most damaging to young trees, either in the nursery or in new orchard plantings (UC PMG, 2017a).</w:t>
      </w:r>
      <w:r>
        <w:rPr>
          <w:color w:val="606060"/>
          <w:sz w:val="24"/>
          <w:szCs w:val="24"/>
        </w:rPr>
        <w:br/>
        <w:t xml:space="preserve">Galls develop at wound sites and, when small, can be confused with normal callus tissue (Burr, 1995).</w:t>
      </w:r>
      <w:r>
        <w:rPr>
          <w:color w:val="606060"/>
          <w:sz w:val="24"/>
          <w:szCs w:val="24"/>
        </w:rPr>
        <w:br/>
        <w:t xml:space="preserve">Reports vary as to the effects of crown gall on plant growth. Some indicate that galls on young plants can reduce root development and plant vigour, but in at least one experiment on cherry, no significant adverse effect was detected. Heavily galled plants in nurseries may be stunted and show chlorotic leaf growth. However, crown gall may remain undetected for years in mature orchards and become apparent only when removal of trees exposes the diseased roots (Burr, 1995).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incidence of crown gall can be reduced by planting noninfected, "clean" trees. It is also important to carefully handle trees to avoid injury as much as possible, both at planting and during the life of the tree in the orchard. Preplant, preventive dips or sprays with a biological control agent are available and may be helpful in some orchards. Generally, by the time crown gall is evident in an apricot orchard, it is usually best to tolerate the problem for the few remaining years of orchard life, which is about 12 to 15</w:t>
      </w:r>
      <w:r>
        <w:rPr>
          <w:color w:val="F30000"/>
          <w:sz w:val="24"/>
          <w:szCs w:val="24"/>
        </w:rPr>
        <w:br/>
        <w:t xml:space="preserve">years, or just remove the orchard and start anew (UC PMG, 2017a).</w:t>
      </w:r>
      <w:r>
        <w:rPr>
          <w:color w:val="F30000"/>
          <w:sz w:val="24"/>
          <w:szCs w:val="24"/>
        </w:rPr>
        <w:br/>
        <w:t xml:space="preserve">When replanting a previously affected site, remove as many of the old tree roots as possible, grow a grass rotation crop to help degrade leftover host material and reduce pathogen levels, and offset the new trees from the previous tree spacing to minimize contact of healthy new roots with any infested roots that may</w:t>
      </w:r>
      <w:r>
        <w:rPr>
          <w:color w:val="F30000"/>
          <w:sz w:val="24"/>
          <w:szCs w:val="24"/>
        </w:rPr>
        <w:br/>
        <w:t xml:space="preserve">remain (UC PMG, 2017a).</w:t>
      </w:r>
      <w:r>
        <w:rPr>
          <w:color w:val="F30000"/>
          <w:sz w:val="24"/>
          <w:szCs w:val="24"/>
        </w:rPr>
        <w:br/>
        <w:t xml:space="preserve">Sanitation and cultural practices are important for reducing the amount of disease. These include using certified disease-free propagative material, planting disease-free plants, planting in well-drained fields, and rotating contaminated field sites with nonhost plants such as monocots (Burr, 1995).</w:t>
      </w:r>
      <w:r>
        <w:rPr>
          <w:color w:val="F30000"/>
          <w:sz w:val="24"/>
          <w:szCs w:val="24"/>
        </w:rPr>
        <w:br/>
        <w:br/>
        <w:t xml:space="preserve">However, since symptom expression was highly dependant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31816a3fb6c999612"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80856a3fb6c999695"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12066a3fb6c9996c1"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94076a3fb6c9996ff"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17116a3fb6c99973a"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700359">
    <w:multiLevelType w:val="hybridMultilevel"/>
    <w:lvl w:ilvl="0" w:tplc="68113558">
      <w:start w:val="1"/>
      <w:numFmt w:val="decimal"/>
      <w:lvlText w:val="%1."/>
      <w:lvlJc w:val="left"/>
      <w:pPr>
        <w:ind w:left="720" w:hanging="360"/>
      </w:pPr>
    </w:lvl>
    <w:lvl w:ilvl="1" w:tplc="68113558" w:tentative="1">
      <w:start w:val="1"/>
      <w:numFmt w:val="lowerLetter"/>
      <w:lvlText w:val="%2."/>
      <w:lvlJc w:val="left"/>
      <w:pPr>
        <w:ind w:left="1440" w:hanging="360"/>
      </w:pPr>
    </w:lvl>
    <w:lvl w:ilvl="2" w:tplc="68113558" w:tentative="1">
      <w:start w:val="1"/>
      <w:numFmt w:val="lowerRoman"/>
      <w:lvlText w:val="%3."/>
      <w:lvlJc w:val="right"/>
      <w:pPr>
        <w:ind w:left="2160" w:hanging="180"/>
      </w:pPr>
    </w:lvl>
    <w:lvl w:ilvl="3" w:tplc="68113558" w:tentative="1">
      <w:start w:val="1"/>
      <w:numFmt w:val="decimal"/>
      <w:lvlText w:val="%4."/>
      <w:lvlJc w:val="left"/>
      <w:pPr>
        <w:ind w:left="2880" w:hanging="360"/>
      </w:pPr>
    </w:lvl>
    <w:lvl w:ilvl="4" w:tplc="68113558" w:tentative="1">
      <w:start w:val="1"/>
      <w:numFmt w:val="lowerLetter"/>
      <w:lvlText w:val="%5."/>
      <w:lvlJc w:val="left"/>
      <w:pPr>
        <w:ind w:left="3600" w:hanging="360"/>
      </w:pPr>
    </w:lvl>
    <w:lvl w:ilvl="5" w:tplc="68113558" w:tentative="1">
      <w:start w:val="1"/>
      <w:numFmt w:val="lowerRoman"/>
      <w:lvlText w:val="%6."/>
      <w:lvlJc w:val="right"/>
      <w:pPr>
        <w:ind w:left="4320" w:hanging="180"/>
      </w:pPr>
    </w:lvl>
    <w:lvl w:ilvl="6" w:tplc="68113558" w:tentative="1">
      <w:start w:val="1"/>
      <w:numFmt w:val="decimal"/>
      <w:lvlText w:val="%7."/>
      <w:lvlJc w:val="left"/>
      <w:pPr>
        <w:ind w:left="5040" w:hanging="360"/>
      </w:pPr>
    </w:lvl>
    <w:lvl w:ilvl="7" w:tplc="68113558" w:tentative="1">
      <w:start w:val="1"/>
      <w:numFmt w:val="lowerLetter"/>
      <w:lvlText w:val="%8."/>
      <w:lvlJc w:val="left"/>
      <w:pPr>
        <w:ind w:left="5760" w:hanging="360"/>
      </w:pPr>
    </w:lvl>
    <w:lvl w:ilvl="8" w:tplc="68113558" w:tentative="1">
      <w:start w:val="1"/>
      <w:numFmt w:val="lowerRoman"/>
      <w:lvlText w:val="%9."/>
      <w:lvlJc w:val="right"/>
      <w:pPr>
        <w:ind w:left="6480" w:hanging="180"/>
      </w:pPr>
    </w:lvl>
  </w:abstractNum>
  <w:abstractNum w:abstractNumId="86700358">
    <w:multiLevelType w:val="hybridMultilevel"/>
    <w:lvl w:ilvl="0" w:tplc="610795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700358">
    <w:abstractNumId w:val="86700358"/>
  </w:num>
  <w:num w:numId="86700359">
    <w:abstractNumId w:val="867003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1053998" Type="http://schemas.microsoft.com/office/2011/relationships/commentsExtended" Target="commentsExtended.xml"/><Relationship Id="rId10596a3fb6c999074" Type="http://schemas.openxmlformats.org/officeDocument/2006/relationships/hyperlink" Target="https://gd.eppo.int/" TargetMode="External"/><Relationship Id="rId31816a3fb6c999612" Type="http://schemas.openxmlformats.org/officeDocument/2006/relationships/hyperlink" Target="https://www.cabidigitallibrary.org/doi/10.1079/cabicompendium.3745" TargetMode="External"/><Relationship Id="rId80856a3fb6c999695" Type="http://schemas.openxmlformats.org/officeDocument/2006/relationships/hyperlink" Target="https://ucanr.edu/blogs/blogcore/postdetail.cfm?postnum=28927" TargetMode="External"/><Relationship Id="rId12066a3fb6c9996c1" Type="http://schemas.openxmlformats.org/officeDocument/2006/relationships/hyperlink" Target="http://californiaagriculture.ucanr.org/landingpage.cfm?article=ca.v059n04p249&amp;fulltext=yes" TargetMode="External"/><Relationship Id="rId94076a3fb6c9996ff" Type="http://schemas.openxmlformats.org/officeDocument/2006/relationships/hyperlink" Target="https://www.apsnet.org/edcenter/disandpath/prokaryote/pdlessons/Pages/CrownGall.aspx" TargetMode="External"/><Relationship Id="rId17116a3fb6c99973a" Type="http://schemas.openxmlformats.org/officeDocument/2006/relationships/hyperlink" Target="https://cekings.ucanr.edu/files/1937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