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Blackcurrant yellows agent (BKY000)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Black currant yellows disease was found in a single English nursery (Posnette, 1952) and subsequently in several plantations established with bushes distributed from it. The disease, a yellowish-green mottle affecting large sectors of whole laminae, has not been reported in other countries. The disease has only been graft-transmitted between black currants, and different cultivars react similarly to infection. No natural vector has been found, and experimental tests with five aphid species were unsuccessful (Cropley et al., 1964; Thresh, 1987). There is no information on the properties of the causal agent, not listed on ICTV and no sequence available at GenBank. With hindsight and based on the mite observations by Cropley et al., (1964) black currant yellows is most likely associated with black currant reversion virus (cited from Tzanetakis et al., submitted).</w:t>
      </w:r>
      <w:r>
        <w:rPr>
          <w:color w:val="F30000"/>
          <w:sz w:val="24"/>
          <w:szCs w:val="24"/>
        </w:rPr>
        <w:br/>
        <w:t xml:space="preserve">When responding to the questionnaire, no counry supported its recommendation for regulation as an RNQP. LT and NL supported its delisting from EU regulation because of no clear identity and absence of isolates.</w:t>
      </w:r>
      <w:r>
        <w:rPr>
          <w:color w:val="F30000"/>
          <w:sz w:val="24"/>
          <w:szCs w:val="24"/>
        </w:rPr>
        <w:br/>
        <w:t xml:space="preserve">Certification in the future should focus on the absence of specific virus-like pathogens (viruses, viroids, phytoplasmas) rather than on symptoms of diseases where the pathogen and its sequence data are unknown and not reported for decades but presented in the certification schemes. It is also likely that biological indexing of basic fruit propagation material on indicator plants will be replaced in the future by next generation sequencing analysis (ICVF, 2023). However, using HTS will not provide information on biological relevance.</w:t>
      </w:r>
      <w:r>
        <w:rPr>
          <w:color w:val="F30000"/>
          <w:sz w:val="24"/>
          <w:szCs w:val="24"/>
        </w:rPr>
        <w:br/>
        <w:br/>
        <w:t xml:space="preserve">Blackcurrant yellows agent fulfils the description of phantom agent: Phantom agents have been associated with symptomatic plants and diseases of unknown etiology. Most phantom agents are presumed to be of viral nature, yet (i) neither infected plant material nor reference isolates are available, and (ii) no sequence information is accessible (Tzanetakis et al., submitted).</w:t>
      </w:r>
      <w:r>
        <w:rPr>
          <w:color w:val="F30000"/>
          <w:sz w:val="24"/>
          <w:szCs w:val="24"/>
        </w:rPr>
        <w:br/>
        <w:t xml:space="preserve">Due to the lack of isolate, infected material and sequence information, the causal agent of this disease will never be confirmed to be e.g. black currant reversion virus. It should be removed from the RNQP list.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 as 'Black currant yellows'. The pest is not qualified as an RNQP since taxonomy needed to be checked.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see first observations from Posnette (1952)</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Infected bushes are stunted and their crop is greatly reduced (Cropley et al. 1964), but infection is not sufficiently widespread to cause serious economic losses (Thresh, 1987).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Cropley R, Posnette AF &amp; Thresh JM (1964) The effects of black-currant yellows virus and a strain of reversion virus on yield. Annals of Applied Biology, 54: 177–182. doi:10.1111/j.1744-7348.1964.tb01181.x</w:t>
      </w:r>
    </w:p>
    <w:p>
      <w:pPr>
        <w:numPr>
          <w:ilvl w:val="0"/>
          <w:numId w:val="1"/>
        </w:numPr>
        <w:spacing w:before="0" w:after="0" w:line="240" w:lineRule="auto"/>
        <w:jc w:val="left"/>
        <w:rPr>
          <w:color w:val="0200C9"/>
          <w:sz w:val="24"/>
          <w:szCs w:val="24"/>
        </w:rPr>
      </w:pPr>
      <w:r>
        <w:rPr>
          <w:color w:val="0200C9"/>
          <w:sz w:val="24"/>
          <w:szCs w:val="24"/>
        </w:rPr>
        <w:t xml:space="preserve">Thresh JM (1966) Virus diseases of black currants. Report East Mailing Research Station for 1965, 158-163. </w:t>
      </w:r>
      <w:hyperlink r:id="rId39606a7b26b79ed2c" w:history="1">
        <w:r>
          <w:rPr>
            <w:color w:val="0200C9"/>
            <w:sz w:val="24"/>
            <w:szCs w:val="24"/>
          </w:rPr>
          <w:t xml:space="preserve">http://www.isppweb.org/icpve/thresh/Virus%20diseases%20of%20black%20currants.pdf</w:t>
        </w:r>
      </w:hyperlink>
      <w:r>
        <w:rPr>
          <w:color w:val="0200C9"/>
          <w:sz w:val="24"/>
          <w:szCs w:val="24"/>
        </w:rPr>
        <w:t xml:space="preserve"> (accessed online 10-16 January 2017)</w:t>
      </w:r>
    </w:p>
    <w:p>
      <w:pPr>
        <w:numPr>
          <w:ilvl w:val="0"/>
          <w:numId w:val="1"/>
        </w:numPr>
        <w:spacing w:before="0" w:after="0" w:line="240" w:lineRule="auto"/>
        <w:jc w:val="left"/>
        <w:rPr>
          <w:color w:val="0200C9"/>
          <w:sz w:val="24"/>
          <w:szCs w:val="24"/>
        </w:rPr>
      </w:pPr>
      <w:r>
        <w:rPr>
          <w:color w:val="0200C9"/>
          <w:sz w:val="24"/>
          <w:szCs w:val="24"/>
        </w:rPr>
        <w:t xml:space="preserve">ICVF (2023) 25th International Conference on Virus and other graft transmissible diseases of Fruit crops (ICVF). 'Let's keep our fruits healthy'. Book of abstracts. Wageningen, 9-13 July 2023.</w:t>
      </w:r>
    </w:p>
    <w:p>
      <w:pPr>
        <w:numPr>
          <w:ilvl w:val="0"/>
          <w:numId w:val="1"/>
        </w:numPr>
        <w:spacing w:before="0" w:after="0" w:line="240" w:lineRule="auto"/>
        <w:jc w:val="left"/>
        <w:rPr>
          <w:color w:val="0200C9"/>
          <w:sz w:val="24"/>
          <w:szCs w:val="24"/>
        </w:rPr>
      </w:pPr>
      <w:r>
        <w:rPr>
          <w:color w:val="0200C9"/>
          <w:sz w:val="24"/>
          <w:szCs w:val="24"/>
        </w:rPr>
        <w:t xml:space="preserve">Posnette AF (1952) New virus diseases of Ribes. East Mailing Research Station, Report for 1951, pp. 133-135.</w:t>
      </w:r>
    </w:p>
    <w:p>
      <w:pPr>
        <w:numPr>
          <w:ilvl w:val="0"/>
          <w:numId w:val="1"/>
        </w:numPr>
        <w:spacing w:before="0" w:after="0" w:line="240" w:lineRule="auto"/>
        <w:jc w:val="left"/>
        <w:rPr>
          <w:color w:val="0200C9"/>
          <w:sz w:val="24"/>
          <w:szCs w:val="24"/>
        </w:rPr>
      </w:pPr>
      <w:r>
        <w:rPr>
          <w:color w:val="0200C9"/>
          <w:sz w:val="24"/>
          <w:szCs w:val="24"/>
        </w:rPr>
        <w:t xml:space="preserve">Tresh JM (1987) Black currant yellows. In Virus diseases of small fruits (No. 631) (ed Converse RH). US Department of Agriculture, Agricultural Research Service pp. 140-141.</w:t>
      </w:r>
    </w:p>
    <w:p>
      <w:pPr>
        <w:numPr>
          <w:ilvl w:val="0"/>
          <w:numId w:val="1"/>
        </w:numPr>
        <w:spacing w:before="0" w:after="0" w:line="240" w:lineRule="auto"/>
        <w:jc w:val="left"/>
        <w:rPr>
          <w:color w:val="0200C9"/>
          <w:sz w:val="24"/>
          <w:szCs w:val="24"/>
        </w:rPr>
      </w:pPr>
      <w:r>
        <w:rPr>
          <w:color w:val="0200C9"/>
          <w:sz w:val="24"/>
          <w:szCs w:val="24"/>
        </w:rPr>
        <w:t xml:space="preserve">Tzanetakis IE, Aknadibossian V, Špak J, Constable F, Harper SJ, Hammond J, Candresse T, Folimonova SY, Freitas-Astúa J, Fuchs M, Jelkmann W, Maliogka VI, Marais A, Martin RR, Mollov D, Vidalakis G, Aboughanem-Sabanadzovic N, Al Rwahnih M, Alabi OJ, Alioto D, Atanda HY, Bagi F, Baranwal VK, Barbosa C, Bar-Joseph M, Belien T, Benítez-Galeano MJ, Bennypaul H, Bertaccini A, Bester R, Blouin AG, Blystad D-R, Botermans M, Bozan O, Brakta A, Brans Y, Bulajić A, Caglayan K, Catara A, Choueiri E, Cieślińska M, Cook G, Craddock I, Cui W, da Graça J, Davino S, Delmiglio C, Dewdney M, Di Serio F, Diaz-Lara A, Digiaro M, Djelouah K, Donovan N, Druciarek TZ, Duran-Vila N, Elçi E, Esquivel-Fariña A, Fall ML, Figueroa J, Fiore N, Fowkes AR, Fox A, Fránová J, Fuchs R, Gaafar YZA, García ML, Ghosh D, Girardi E, Glasa M, Gomez Talquenca S, Gratz A, Gritsenko D, Hajeri S, Hajizadeh M, Hamborg Z, Ho T, Holeva M, Holkar SK, Horner M, Hurtado-Gonzales OP, Ippolito A, Isac V, Iwanami T, Jofre-y-Garfias AE, Jordan R, Katis N, Koloniuk I, Konings H, Križanac I, Krueger R, Kyrychenko A, Laranjeira F, Levy A, Licciardello G, Lu Q-Y, MacFarlane SA, Marcone C, Maree HJ, Margaria P, Martić A, Massart S, Mathioudakis MM, Matić S, Mavric Plesko I, Meekes ETM, Mehle N, Melzer MJ, Meng B, Menzel W, Miljanić V, Minafra A, Minutolo M, Mitra A, Moreno P, Navarro L, Navarro B, Nerva L, Okić A, Olmos A, Onelge N, Osundahunsi B, Palacios MF, Pallas V, Panno S, Perez-Egusquiza Z, Poudel-Ward B, Radišek S, Ramos-González PL, Ramteke P, Ranabhat NB, Rivarez MPS, Rivas F, Roenhorst A, Roy A, Ruiz-García AB, Sabanadzovic S, Šafářová D, Saldarelli P, Salem N, Sanahuja Solsona G, Schoen R, Sharma SK, Shilts T, Sierra-Mejia A, Singh S, Skelton A, Škorić D, Stainton D, Štajner N, Starović M, Stuchi E, Svoboda P, Tahzima R, Tang J, Tessitori M, Thermoz J-P, Thompson E, Thompson J, Trebicki P, Turina M, Ulubas Serce C, Umble J, Valiunas D, Varallyay E, Varma A, Varveri C, Vasquez-Gutierrez U, Vazquez-Iglesias I, Veerakone S, Villamor DE, Vives MC, Vončina D, Wang J, Wenxing X, Westenberg M, Wetzel, T, Winter S, Wright G, Wulff NA, Xu Dong F, Ya Feng D, Yokomi R, Zhou C, Zikeli K, Zindović J (submitted) Streamlining global germplasm exchange: Integrating scientific rigor and common sense to exclude phantom agents from regulation.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211100">
    <w:multiLevelType w:val="hybridMultilevel"/>
    <w:lvl w:ilvl="0" w:tplc="87087753">
      <w:start w:val="1"/>
      <w:numFmt w:val="decimal"/>
      <w:lvlText w:val="%1."/>
      <w:lvlJc w:val="left"/>
      <w:pPr>
        <w:ind w:left="720" w:hanging="360"/>
      </w:pPr>
    </w:lvl>
    <w:lvl w:ilvl="1" w:tplc="87087753" w:tentative="1">
      <w:start w:val="1"/>
      <w:numFmt w:val="lowerLetter"/>
      <w:lvlText w:val="%2."/>
      <w:lvlJc w:val="left"/>
      <w:pPr>
        <w:ind w:left="1440" w:hanging="360"/>
      </w:pPr>
    </w:lvl>
    <w:lvl w:ilvl="2" w:tplc="87087753" w:tentative="1">
      <w:start w:val="1"/>
      <w:numFmt w:val="lowerRoman"/>
      <w:lvlText w:val="%3."/>
      <w:lvlJc w:val="right"/>
      <w:pPr>
        <w:ind w:left="2160" w:hanging="180"/>
      </w:pPr>
    </w:lvl>
    <w:lvl w:ilvl="3" w:tplc="87087753" w:tentative="1">
      <w:start w:val="1"/>
      <w:numFmt w:val="decimal"/>
      <w:lvlText w:val="%4."/>
      <w:lvlJc w:val="left"/>
      <w:pPr>
        <w:ind w:left="2880" w:hanging="360"/>
      </w:pPr>
    </w:lvl>
    <w:lvl w:ilvl="4" w:tplc="87087753" w:tentative="1">
      <w:start w:val="1"/>
      <w:numFmt w:val="lowerLetter"/>
      <w:lvlText w:val="%5."/>
      <w:lvlJc w:val="left"/>
      <w:pPr>
        <w:ind w:left="3600" w:hanging="360"/>
      </w:pPr>
    </w:lvl>
    <w:lvl w:ilvl="5" w:tplc="87087753" w:tentative="1">
      <w:start w:val="1"/>
      <w:numFmt w:val="lowerRoman"/>
      <w:lvlText w:val="%6."/>
      <w:lvlJc w:val="right"/>
      <w:pPr>
        <w:ind w:left="4320" w:hanging="180"/>
      </w:pPr>
    </w:lvl>
    <w:lvl w:ilvl="6" w:tplc="87087753" w:tentative="1">
      <w:start w:val="1"/>
      <w:numFmt w:val="decimal"/>
      <w:lvlText w:val="%7."/>
      <w:lvlJc w:val="left"/>
      <w:pPr>
        <w:ind w:left="5040" w:hanging="360"/>
      </w:pPr>
    </w:lvl>
    <w:lvl w:ilvl="7" w:tplc="87087753" w:tentative="1">
      <w:start w:val="1"/>
      <w:numFmt w:val="lowerLetter"/>
      <w:lvlText w:val="%8."/>
      <w:lvlJc w:val="left"/>
      <w:pPr>
        <w:ind w:left="5760" w:hanging="360"/>
      </w:pPr>
    </w:lvl>
    <w:lvl w:ilvl="8" w:tplc="87087753" w:tentative="1">
      <w:start w:val="1"/>
      <w:numFmt w:val="lowerRoman"/>
      <w:lvlText w:val="%9."/>
      <w:lvlJc w:val="right"/>
      <w:pPr>
        <w:ind w:left="6480" w:hanging="180"/>
      </w:pPr>
    </w:lvl>
  </w:abstractNum>
  <w:abstractNum w:abstractNumId="62211099">
    <w:multiLevelType w:val="hybridMultilevel"/>
    <w:lvl w:ilvl="0" w:tplc="168415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211099">
    <w:abstractNumId w:val="62211099"/>
  </w:num>
  <w:num w:numId="62211100">
    <w:abstractNumId w:val="6221110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9361656" Type="http://schemas.microsoft.com/office/2011/relationships/commentsExtended" Target="commentsExtended.xml"/><Relationship Id="rId39606a7b26b79ed2c" Type="http://schemas.openxmlformats.org/officeDocument/2006/relationships/hyperlink" Target="http://www.isppweb.org/icpve/thresh/Virus%20diseases%20of%20black%20currants.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