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46236a3fb805ee276"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responses to the questionnaire, NL, PL and SI supported deregulation. NL and SI considered that plants for planting was not the 'main' pathway. NL and PL considered that economic impact was acceptable.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has a wide host range (CABI 2021: Raabe, 1962); fig (Ficus carica, Papachatzis et al, 2008), walnut (Juglans regia, Baumgartner et al., 2013), apricot (Prunus armeniaca, UCARN, 2017) and peach (Prunus persica, Downer &amp; Faber, 2019) can be hosts of / can suffer from Armillaria mellea.</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Armillaria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fungus infects many orchard trees, including walnut, peach, and almond, as well as grape and many woody landscape plants (e.g., rose). Armillaria root rot does not affect as many acres as do some other fungal diseases, but where it does occur, it is extremely difficult to eradicate from the soil and reduces yields throughout the life of an infected vineyard or orchards and that of successive plantings (Baumgartner &amp; Rizzo, 2013). In southern France and California the damage on stone fruits (peaches, almonds, apricots, cherries) and walnuts can be severe. Unfortunately, few quantitative data are available concerning the overall mortality rates in orchards and vineyards (CABI, 2021)</w:t>
      </w:r>
      <w:r>
        <w:rPr>
          <w:color w:val="606060"/>
          <w:sz w:val="24"/>
          <w:szCs w:val="24"/>
        </w:rPr>
        <w:br/>
        <w:t xml:space="preserve">Juglans regia:</w:t>
      </w:r>
      <w:r>
        <w:rPr>
          <w:color w:val="606060"/>
          <w:sz w:val="24"/>
          <w:szCs w:val="24"/>
        </w:rPr>
        <w:br/>
        <w:t xml:space="preserve">The severity of this fungus disease depends on the rootstock and the strain of A. mellea. The pathogen invades the roots, crown and basal trunk, eventually girdling the crown region and destroying the entire root system causing death of the tree. Symptoms of the disease are creamy white, fan-shaped plaques of fungal mycelia beneath the bark. After rains in the fall or spring, a cluster of mushrooms often appears at the base of infected trees. The fungus develops most rapidly in moist cool soil. It can survive for many years in dead or living roots of many different species of trees. Generally, clusters of trees may be infected at one or several sites in the orchard. A localized problem but can cause 25% yield loss in infected orchards (UCARN, 1998). However there are conflicting reports on the impact of Armillaria mellea on walnut, which suggests that there may be a great deal of variation between walnut species, pathogen strain and environment. Walnut on rootstock ‘Paradox’ seemed to survive better than its parents (McGranahan &amp; Leslie, 1990); ‘Pradox’ is a hybrid of J. hindsii and J. regia, and is more vigorous (Baumgartner et al., 2013).</w:t>
      </w:r>
      <w:r>
        <w:rPr>
          <w:color w:val="606060"/>
          <w:sz w:val="24"/>
          <w:szCs w:val="24"/>
        </w:rPr>
        <w:br/>
        <w:t xml:space="preserve">[In responses to the questionnaire, NL commented that infection during pruning was only causing damage on weak plants. PL considered damage negligeable.]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Remark: Once there, management options for Armillaria root rot are extremely limited, since Armillaria can survive in infected root pieces for decades, crop rotation has very little effect in reducing inoculum potential.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Choice of site for planting: Sites can be hazardous either because they can predispose the host in some way, or because the inoculum potential of pathogenic Armillaria species is likely to be important. The sites of recent deforestation are particularly risky, depending also on the composition of the natural vegetation (CABI 2021).</w:t>
      </w:r>
      <w:r>
        <w:rPr>
          <w:color w:val="606060"/>
          <w:sz w:val="24"/>
          <w:szCs w:val="24"/>
        </w:rPr>
        <w:br/>
        <w:t xml:space="preserve">Preparation of site: Stump and root removal is commonly practiced in preparing sites for plantation of fruit orchards. Several rippings at different depths (possibly including subsoiling) are followed by hand removal of the remaining roots. (CABI, 2021). If Prunus persica was planted as grafted saplings in a previously infested plot with Armillaria mellea, survival of trees planted in a large hole were more likely to survive than in a smaller hole (P=0.07) and trees in large holes with fresh organic matter added were the most likely to survive (P=0.04) (Downer &amp; Faber, 2019).</w:t>
      </w:r>
      <w:r>
        <w:rPr>
          <w:color w:val="606060"/>
          <w:sz w:val="24"/>
          <w:szCs w:val="24"/>
        </w:rPr>
        <w:br/>
        <w:t xml:space="preserve">Choice of rootstock: For apricot some rootstock are more resistant to Armillaria mellea than others, but they are not immune (UCANR, 2017). Also for walnut research for tolerant/resistant rootstocks is ongoing (Baumgartner et al., 2013).</w:t>
      </w:r>
      <w:r>
        <w:rPr>
          <w:color w:val="606060"/>
          <w:sz w:val="24"/>
          <w:szCs w:val="24"/>
        </w:rPr>
        <w:br/>
        <w:t xml:space="preserve">Cultural control: If the disease is caught early enough, excavating the soil around the base of the tree down to the first layer of lateral roots may delay the progress of the disease from progressing further. This aeration prevents the fungus from gaining access to the crown of the tree (UCANR,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Baumgartner K &amp; Rizzo DM (2013). Armillaria root rot. In Grape pest management, 3rd edition (ed Bettia L) CA: University of California, Division of Agriculture and Natural Resources, Oakland, pages 83-86.</w:t>
      </w:r>
    </w:p>
    <w:p>
      <w:pPr>
        <w:numPr>
          <w:ilvl w:val="0"/>
          <w:numId w:val="1"/>
        </w:numPr>
        <w:spacing w:before="0" w:after="0" w:line="240" w:lineRule="auto"/>
        <w:jc w:val="left"/>
        <w:rPr>
          <w:color w:val="0200C9"/>
          <w:sz w:val="24"/>
          <w:szCs w:val="24"/>
        </w:rPr>
      </w:pPr>
      <w:r>
        <w:rPr>
          <w:color w:val="0200C9"/>
          <w:sz w:val="24"/>
          <w:szCs w:val="24"/>
        </w:rPr>
        <w:t xml:space="preserve">Baumgartner K, Fujiyoshi P &amp; Browne GT (2013). Evaluating Paradox walnut rootstocks for resistance to Armillaria root disease. Hortscience 48(1), 68–72. 2013.</w:t>
      </w:r>
    </w:p>
    <w:p>
      <w:pPr>
        <w:numPr>
          <w:ilvl w:val="0"/>
          <w:numId w:val="1"/>
        </w:numPr>
        <w:spacing w:before="0" w:after="0" w:line="240" w:lineRule="auto"/>
        <w:jc w:val="left"/>
        <w:rPr>
          <w:color w:val="0200C9"/>
          <w:sz w:val="24"/>
          <w:szCs w:val="24"/>
        </w:rPr>
      </w:pPr>
      <w:r>
        <w:rPr>
          <w:color w:val="0200C9"/>
          <w:sz w:val="24"/>
          <w:szCs w:val="24"/>
        </w:rPr>
        <w:t xml:space="preserve">CABI (2021) Armillaria mellea (armillaria root rot). Crop protection compendium. CABI Compendium</w:t>
      </w:r>
    </w:p>
    <w:p>
      <w:pPr>
        <w:numPr>
          <w:ilvl w:val="0"/>
          <w:numId w:val="1"/>
        </w:numPr>
        <w:spacing w:before="0" w:after="0" w:line="240" w:lineRule="auto"/>
        <w:jc w:val="left"/>
        <w:rPr>
          <w:color w:val="0200C9"/>
          <w:sz w:val="24"/>
          <w:szCs w:val="24"/>
        </w:rPr>
      </w:pPr>
      <w:hyperlink r:id="rId69096a3fb805ee79d" w:history="1">
        <w:r>
          <w:rPr>
            <w:color w:val="0200C9"/>
            <w:sz w:val="24"/>
            <w:szCs w:val="24"/>
          </w:rPr>
          <w:t xml:space="preserve">https://doi.org/10.1079/cabicompendium.7002</w:t>
        </w:r>
      </w:hyperlink>
      <w:r>
        <w:rPr>
          <w:color w:val="0200C9"/>
          <w:sz w:val="24"/>
          <w:szCs w:val="24"/>
        </w:rPr>
        <w:t xml:space="preserve"> (accessed on 8/Apr/2024).</w:t>
      </w:r>
    </w:p>
    <w:p>
      <w:pPr>
        <w:numPr>
          <w:ilvl w:val="0"/>
          <w:numId w:val="1"/>
        </w:numPr>
        <w:spacing w:before="0" w:after="0" w:line="240" w:lineRule="auto"/>
        <w:jc w:val="left"/>
        <w:rPr>
          <w:color w:val="0200C9"/>
          <w:sz w:val="24"/>
          <w:szCs w:val="24"/>
        </w:rPr>
      </w:pPr>
      <w:r>
        <w:rPr>
          <w:color w:val="0200C9"/>
          <w:sz w:val="24"/>
          <w:szCs w:val="24"/>
        </w:rPr>
        <w:t xml:space="preserve">Chandelier A, Gerarts F, San Martin G, Herman M &amp; Delahaye L (2016) Temporal evolution of collar lesions associated with ash dieback and the occurrence of Armillaria in Belgian forests. Forest Pathology 46(4), 289-297.</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Dowding P &amp; Smith L (2008) Forest fungi In Ireland. COFORD, Dublin.</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93166a3fb805ee81e" w:history="1">
        <w:r>
          <w:rPr>
            <w:color w:val="0200C9"/>
            <w:sz w:val="24"/>
            <w:szCs w:val="24"/>
          </w:rPr>
          <w:t xml:space="preserve">https://doi.org/10.29328/journal.jpsp.1001031</w:t>
        </w:r>
      </w:hyperlink>
    </w:p>
    <w:p>
      <w:pPr>
        <w:numPr>
          <w:ilvl w:val="0"/>
          <w:numId w:val="1"/>
        </w:numPr>
        <w:spacing w:before="0" w:after="0" w:line="240" w:lineRule="auto"/>
        <w:jc w:val="left"/>
        <w:rPr>
          <w:color w:val="0200C9"/>
          <w:sz w:val="24"/>
          <w:szCs w:val="24"/>
        </w:rPr>
      </w:pPr>
      <w:r>
        <w:rPr>
          <w:color w:val="0200C9"/>
          <w:sz w:val="24"/>
          <w:szCs w:val="24"/>
        </w:rPr>
        <w:t xml:space="preserve">Georgieva M, Georgieva M, Hristova M, Georgiev G (2023) Assessment of plane trees health status in urban green areas of Sofia, Bulgaria. Ecologia Balkanica 15(1), 117-125.</w:t>
      </w:r>
    </w:p>
    <w:p>
      <w:pPr>
        <w:numPr>
          <w:ilvl w:val="0"/>
          <w:numId w:val="1"/>
        </w:numPr>
        <w:spacing w:before="0" w:after="0" w:line="240" w:lineRule="auto"/>
        <w:jc w:val="left"/>
        <w:rPr>
          <w:color w:val="0200C9"/>
          <w:sz w:val="24"/>
          <w:szCs w:val="24"/>
        </w:rPr>
      </w:pPr>
      <w:r>
        <w:rPr>
          <w:color w:val="0200C9"/>
          <w:sz w:val="24"/>
          <w:szCs w:val="24"/>
        </w:rPr>
        <w:t xml:space="preserve">Ivić D, Petrović E &amp; Godena S (2023) Fungi associated with canker diseases on olive in Istria (Croatia). Journal of Central European Agriculture 24(2), 470-475.</w:t>
      </w:r>
    </w:p>
    <w:p>
      <w:pPr>
        <w:numPr>
          <w:ilvl w:val="0"/>
          <w:numId w:val="1"/>
        </w:numPr>
        <w:spacing w:before="0" w:after="0" w:line="240" w:lineRule="auto"/>
        <w:jc w:val="left"/>
        <w:rPr>
          <w:color w:val="0200C9"/>
          <w:sz w:val="24"/>
          <w:szCs w:val="24"/>
        </w:rPr>
      </w:pPr>
      <w:r>
        <w:rPr>
          <w:color w:val="0200C9"/>
          <w:sz w:val="24"/>
          <w:szCs w:val="24"/>
        </w:rPr>
        <w:t xml:space="preserve">Jankovský L (2003) Distribution and ecology of Armillaria species in some habitats of southern Moravia, Czech Republic. Czech Mycology 55(3-4), 173-186.</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w:t>
      </w:r>
      <w:hyperlink r:id="rId30986a3fb805ee880" w:history="1">
        <w:r>
          <w:rPr>
            <w:color w:val="0200C9"/>
            <w:sz w:val="24"/>
            <w:szCs w:val="24"/>
          </w:rPr>
          <w:t xml:space="preserve">https://doi.org/10.3390/pathogens10010076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Łakomy P (2006) New location of Armillaria mellea in polish forests. mp was rolled down. Phytopathologia Polonica 41, 83–86.</w:t>
      </w:r>
    </w:p>
    <w:p>
      <w:pPr>
        <w:numPr>
          <w:ilvl w:val="0"/>
          <w:numId w:val="1"/>
        </w:numPr>
        <w:spacing w:before="0" w:after="0" w:line="240" w:lineRule="auto"/>
        <w:jc w:val="left"/>
        <w:rPr>
          <w:color w:val="0200C9"/>
          <w:sz w:val="24"/>
          <w:szCs w:val="24"/>
        </w:rPr>
      </w:pPr>
      <w:r>
        <w:rPr>
          <w:color w:val="0200C9"/>
          <w:sz w:val="24"/>
          <w:szCs w:val="24"/>
        </w:rPr>
        <w:t xml:space="preserve">Liesebach M, Schüler S &amp; Weissenbacher L (2008). Herkunftsversuche der Küstentanne (Abies grandis [D. Don] Lindl.) in Österreich - Eignung, Wuchsleistung und Variation. Austrian Journal of Forest Science 125(3), 183-200.</w:t>
      </w:r>
    </w:p>
    <w:p>
      <w:pPr>
        <w:numPr>
          <w:ilvl w:val="0"/>
          <w:numId w:val="1"/>
        </w:numPr>
        <w:spacing w:before="0" w:after="0" w:line="240" w:lineRule="auto"/>
        <w:jc w:val="left"/>
        <w:rPr>
          <w:color w:val="0200C9"/>
          <w:sz w:val="24"/>
          <w:szCs w:val="24"/>
        </w:rPr>
      </w:pPr>
      <w:r>
        <w:rPr>
          <w:color w:val="0200C9"/>
          <w:sz w:val="24"/>
          <w:szCs w:val="24"/>
        </w:rPr>
        <w:t xml:space="preserve">McGranahan GH &amp; Leslie CA (1990). Walnuts (Juglans). In Genetic resources of fruit and nut crops (eds Moore JN &amp; Ballington JR) Volume 2. Acta Horticulturae 290, 907–951.</w:t>
      </w:r>
    </w:p>
    <w:p>
      <w:pPr>
        <w:numPr>
          <w:ilvl w:val="0"/>
          <w:numId w:val="1"/>
        </w:numPr>
        <w:spacing w:before="0" w:after="0" w:line="240" w:lineRule="auto"/>
        <w:jc w:val="left"/>
        <w:rPr>
          <w:color w:val="0200C9"/>
          <w:sz w:val="24"/>
          <w:szCs w:val="24"/>
        </w:rPr>
      </w:pPr>
      <w:r>
        <w:rPr>
          <w:color w:val="0200C9"/>
          <w:sz w:val="24"/>
          <w:szCs w:val="24"/>
        </w:rPr>
        <w:t xml:space="preserve">Marxmüller H, Holdenrieder O &amp; Müller ED (1990). Zur Verbreitung, Phönologie und Ökologie von Armillaria mellea s.l. in Südbayern. Bericht Bayerischer Botanischer Gesellschaft, 61:115-134. </w:t>
      </w:r>
      <w:hyperlink r:id="rId57226a3fb805ee8e8" w:history="1">
        <w:r>
          <w:rPr>
            <w:color w:val="0200C9"/>
            <w:sz w:val="24"/>
            <w:szCs w:val="24"/>
          </w:rPr>
          <w:t xml:space="preserve">https://www.zobodat.at/pdf/Berichte-Bayerischen-Bot-Ges-Erforschung-Flora_61_0115-0134.pdf</w:t>
        </w:r>
      </w:hyperlink>
    </w:p>
    <w:p>
      <w:pPr>
        <w:numPr>
          <w:ilvl w:val="0"/>
          <w:numId w:val="1"/>
        </w:numPr>
        <w:spacing w:before="0" w:after="0" w:line="240" w:lineRule="auto"/>
        <w:jc w:val="left"/>
        <w:rPr>
          <w:color w:val="0200C9"/>
          <w:sz w:val="24"/>
          <w:szCs w:val="24"/>
        </w:rPr>
      </w:pPr>
      <w:r>
        <w:rPr>
          <w:color w:val="0200C9"/>
          <w:sz w:val="24"/>
          <w:szCs w:val="24"/>
        </w:rPr>
        <w:t xml:space="preserve">Mesanza N, Patten CL &amp; Iturritxa E (2017) Distribution and characterization of Armillaria complex in Atlantic Forest Ecosystems of Spain. Forests 2017, 8(7), 235; </w:t>
      </w:r>
      <w:hyperlink r:id="rId29106a3fb805ee90b" w:history="1">
        <w:r>
          <w:rPr>
            <w:color w:val="0200C9"/>
            <w:sz w:val="24"/>
            <w:szCs w:val="24"/>
          </w:rPr>
          <w:t xml:space="preserve">https://doi.org/10.3390/f8070235</w:t>
        </w:r>
      </w:hyperlink>
    </w:p>
    <w:p>
      <w:pPr>
        <w:numPr>
          <w:ilvl w:val="0"/>
          <w:numId w:val="1"/>
        </w:numPr>
        <w:spacing w:before="0" w:after="0" w:line="240" w:lineRule="auto"/>
        <w:jc w:val="left"/>
        <w:rPr>
          <w:color w:val="0200C9"/>
          <w:sz w:val="24"/>
          <w:szCs w:val="24"/>
        </w:rPr>
      </w:pPr>
      <w:r>
        <w:rPr>
          <w:color w:val="0200C9"/>
          <w:sz w:val="24"/>
          <w:szCs w:val="24"/>
        </w:rPr>
        <w:t xml:space="preserve">NDFF (2024) NDFF Verspreidingsatlas, NMV verspreidingsatlas paddenstoelen, Armillaria mellea (Vahl) P. Kumm. </w:t>
      </w:r>
      <w:hyperlink r:id="rId72036a3fb805ee92c" w:history="1">
        <w:r>
          <w:rPr>
            <w:color w:val="0200C9"/>
            <w:sz w:val="24"/>
            <w:szCs w:val="24"/>
          </w:rPr>
          <w:t xml:space="preserve">https://www.verspreidingsatlas.nl/0005040</w:t>
        </w:r>
      </w:hyperlink>
      <w:r>
        <w:rPr>
          <w:color w:val="0200C9"/>
          <w:sz w:val="24"/>
          <w:szCs w:val="24"/>
        </w:rPr>
        <w:t xml:space="preserve"> (accessed 19/Mar/2024).</w:t>
      </w:r>
    </w:p>
    <w:p>
      <w:pPr>
        <w:numPr>
          <w:ilvl w:val="0"/>
          <w:numId w:val="1"/>
        </w:numPr>
        <w:spacing w:before="0" w:after="0" w:line="240" w:lineRule="auto"/>
        <w:jc w:val="left"/>
        <w:rPr>
          <w:color w:val="0200C9"/>
          <w:sz w:val="24"/>
          <w:szCs w:val="24"/>
        </w:rPr>
      </w:pPr>
      <w:r>
        <w:rPr>
          <w:color w:val="0200C9"/>
          <w:sz w:val="24"/>
          <w:szCs w:val="24"/>
        </w:rPr>
        <w:t xml:space="preserve">Papachatzis A, Eliopoulos P, Statharas G &amp; Vagelas I (2008) Ficus carica rot rot disease caused by Armillaria mellea and Rosellinia necatrix in Greece. Universitatea Din Craiova (University Of Craiova) XIII (XLIX), 143-148.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Romagnesi H, 1973. Observations sur les Armillariella - II. Bulletin de la Société Mycologique de France, 89:195-206.</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Termorshuizen AJ &amp; Arnolds EJM (1994). Geographical distribution of the Armillaria species in the Netherlands in relation to soil type and hosts. European Journal of Forest Pathology 24(3), 129-136.</w:t>
      </w:r>
    </w:p>
    <w:p>
      <w:pPr>
        <w:numPr>
          <w:ilvl w:val="0"/>
          <w:numId w:val="1"/>
        </w:numPr>
        <w:spacing w:before="0" w:after="0" w:line="240" w:lineRule="auto"/>
        <w:jc w:val="left"/>
        <w:rPr>
          <w:color w:val="0200C9"/>
          <w:sz w:val="24"/>
          <w:szCs w:val="24"/>
        </w:rPr>
      </w:pPr>
      <w:r>
        <w:rPr>
          <w:color w:val="0200C9"/>
          <w:sz w:val="24"/>
          <w:szCs w:val="24"/>
        </w:rPr>
        <w:t xml:space="preserve">UCANR (1998) Crop Profile for Walnuts in California. University of California Agriculture and Natural Resources. </w:t>
      </w:r>
      <w:hyperlink r:id="rId41836a3fb805ee9ba" w:history="1">
        <w:r>
          <w:rPr>
            <w:color w:val="0200C9"/>
            <w:sz w:val="24"/>
            <w:szCs w:val="24"/>
          </w:rPr>
          <w:t xml:space="preserve">https://ucanr.edu/datastoreFiles/391-47.pdf</w:t>
        </w:r>
      </w:hyperlink>
    </w:p>
    <w:p>
      <w:pPr>
        <w:numPr>
          <w:ilvl w:val="0"/>
          <w:numId w:val="1"/>
        </w:numPr>
        <w:spacing w:before="0" w:after="0" w:line="240" w:lineRule="auto"/>
        <w:jc w:val="left"/>
        <w:rPr>
          <w:color w:val="0200C9"/>
          <w:sz w:val="24"/>
          <w:szCs w:val="24"/>
        </w:rPr>
      </w:pPr>
      <w:r>
        <w:rPr>
          <w:color w:val="0200C9"/>
          <w:sz w:val="24"/>
          <w:szCs w:val="24"/>
        </w:rPr>
        <w:t xml:space="preserve">UCANR (2017) Apricot. Pest management guidelines for agriculture. University of California Agriculture and Natural Resources, UC IPM Pest Management Guidelines: Apricot, UC ANR Publication 3433. </w:t>
      </w:r>
      <w:hyperlink r:id="rId34826a3fb805ee9dc" w:history="1">
        <w:r>
          <w:rPr>
            <w:color w:val="0200C9"/>
            <w:sz w:val="24"/>
            <w:szCs w:val="24"/>
          </w:rPr>
          <w:t xml:space="preserve">https://ipm.ucanr.edu/legacy_assets/pdf/pmg/pmgapricot.pdf</w:t>
        </w:r>
      </w:hyperlink>
      <w:r>
        <w:rPr>
          <w:color w:val="0200C9"/>
          <w:sz w:val="24"/>
          <w:szCs w:val="24"/>
        </w:rPr>
        <w:t xml:space="preserve"> (last accessed 24/Apr/2024)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569343">
    <w:multiLevelType w:val="hybridMultilevel"/>
    <w:lvl w:ilvl="0" w:tplc="51005096">
      <w:start w:val="1"/>
      <w:numFmt w:val="decimal"/>
      <w:lvlText w:val="%1."/>
      <w:lvlJc w:val="left"/>
      <w:pPr>
        <w:ind w:left="720" w:hanging="360"/>
      </w:pPr>
    </w:lvl>
    <w:lvl w:ilvl="1" w:tplc="51005096" w:tentative="1">
      <w:start w:val="1"/>
      <w:numFmt w:val="lowerLetter"/>
      <w:lvlText w:val="%2."/>
      <w:lvlJc w:val="left"/>
      <w:pPr>
        <w:ind w:left="1440" w:hanging="360"/>
      </w:pPr>
    </w:lvl>
    <w:lvl w:ilvl="2" w:tplc="51005096" w:tentative="1">
      <w:start w:val="1"/>
      <w:numFmt w:val="lowerRoman"/>
      <w:lvlText w:val="%3."/>
      <w:lvlJc w:val="right"/>
      <w:pPr>
        <w:ind w:left="2160" w:hanging="180"/>
      </w:pPr>
    </w:lvl>
    <w:lvl w:ilvl="3" w:tplc="51005096" w:tentative="1">
      <w:start w:val="1"/>
      <w:numFmt w:val="decimal"/>
      <w:lvlText w:val="%4."/>
      <w:lvlJc w:val="left"/>
      <w:pPr>
        <w:ind w:left="2880" w:hanging="360"/>
      </w:pPr>
    </w:lvl>
    <w:lvl w:ilvl="4" w:tplc="51005096" w:tentative="1">
      <w:start w:val="1"/>
      <w:numFmt w:val="lowerLetter"/>
      <w:lvlText w:val="%5."/>
      <w:lvlJc w:val="left"/>
      <w:pPr>
        <w:ind w:left="3600" w:hanging="360"/>
      </w:pPr>
    </w:lvl>
    <w:lvl w:ilvl="5" w:tplc="51005096" w:tentative="1">
      <w:start w:val="1"/>
      <w:numFmt w:val="lowerRoman"/>
      <w:lvlText w:val="%6."/>
      <w:lvlJc w:val="right"/>
      <w:pPr>
        <w:ind w:left="4320" w:hanging="180"/>
      </w:pPr>
    </w:lvl>
    <w:lvl w:ilvl="6" w:tplc="51005096" w:tentative="1">
      <w:start w:val="1"/>
      <w:numFmt w:val="decimal"/>
      <w:lvlText w:val="%7."/>
      <w:lvlJc w:val="left"/>
      <w:pPr>
        <w:ind w:left="5040" w:hanging="360"/>
      </w:pPr>
    </w:lvl>
    <w:lvl w:ilvl="7" w:tplc="51005096" w:tentative="1">
      <w:start w:val="1"/>
      <w:numFmt w:val="lowerLetter"/>
      <w:lvlText w:val="%8."/>
      <w:lvlJc w:val="left"/>
      <w:pPr>
        <w:ind w:left="5760" w:hanging="360"/>
      </w:pPr>
    </w:lvl>
    <w:lvl w:ilvl="8" w:tplc="51005096" w:tentative="1">
      <w:start w:val="1"/>
      <w:numFmt w:val="lowerRoman"/>
      <w:lvlText w:val="%9."/>
      <w:lvlJc w:val="right"/>
      <w:pPr>
        <w:ind w:left="6480" w:hanging="180"/>
      </w:pPr>
    </w:lvl>
  </w:abstractNum>
  <w:abstractNum w:abstractNumId="54569342">
    <w:multiLevelType w:val="hybridMultilevel"/>
    <w:lvl w:ilvl="0" w:tplc="565243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569342">
    <w:abstractNumId w:val="54569342"/>
  </w:num>
  <w:num w:numId="54569343">
    <w:abstractNumId w:val="545693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2632901" Type="http://schemas.microsoft.com/office/2011/relationships/commentsExtended" Target="commentsExtended.xml"/><Relationship Id="rId46236a3fb805ee276" Type="http://schemas.openxmlformats.org/officeDocument/2006/relationships/hyperlink" Target="https://www.gbif.org/fr/species/2536891" TargetMode="External"/><Relationship Id="rId69096a3fb805ee79d" Type="http://schemas.openxmlformats.org/officeDocument/2006/relationships/hyperlink" Target="https://doi.org/10.1079/cabicompendium.7002" TargetMode="External"/><Relationship Id="rId93166a3fb805ee81e" Type="http://schemas.openxmlformats.org/officeDocument/2006/relationships/hyperlink" Target="https://doi.org/10.29328/journal.jpsp.1001031" TargetMode="External"/><Relationship Id="rId30986a3fb805ee880" Type="http://schemas.openxmlformats.org/officeDocument/2006/relationships/hyperlink" Target="https://doi.org/10.3390/pathogens10010076" TargetMode="External"/><Relationship Id="rId57226a3fb805ee8e8" Type="http://schemas.openxmlformats.org/officeDocument/2006/relationships/hyperlink" Target="https://www.zobodat.at/pdf/Berichte-Bayerischen-Bot-Ges-Erforschung-Flora_61_0115-0134.pdf" TargetMode="External"/><Relationship Id="rId29106a3fb805ee90b" Type="http://schemas.openxmlformats.org/officeDocument/2006/relationships/hyperlink" Target="https://doi.org/10.3390/f8070235" TargetMode="External"/><Relationship Id="rId72036a3fb805ee92c" Type="http://schemas.openxmlformats.org/officeDocument/2006/relationships/hyperlink" Target="https://www.verspreidingsatlas.nl/0005040" TargetMode="External"/><Relationship Id="rId41836a3fb805ee9ba" Type="http://schemas.openxmlformats.org/officeDocument/2006/relationships/hyperlink" Target="https://ucanr.edu/datastoreFiles/391-47.pdf" TargetMode="External"/><Relationship Id="rId34826a3fb805ee9dc" Type="http://schemas.openxmlformats.org/officeDocument/2006/relationships/hyperlink" Target="https://ipm.ucanr.edu/legacy_assets/pdf/pmg/pmgaprico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