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Armillaria mellea (ARMIME)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widespread in the EPPO region in particular in forests and in the environment where no phytosanitary measures are taken. GBIF includes reports from almost every EPPO country, but no reports from some areas of some Eastern Europe countries (</w:t>
      </w:r>
      <w:hyperlink r:id="rId30856a7b26dcb539f" w:history="1">
        <w:r>
          <w:rPr>
            <w:color w:val="0200C9"/>
            <w:sz w:val="24"/>
            <w:szCs w:val="24"/>
          </w:rPr>
          <w:t xml:space="preserve">https://www.gbif.org/fr/species/2536891</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Armillaria mellea recommended in EPPO Standard PM 4-27 Pathogen-tested material of Malus, Pyrus and Cydonia. However, in responses to the questionnaire, NL, PL and SI supported deregulation. NL and SI considered that plants for planting was not the 'main' pathway. NL and PL considered that economic impact was acceptable. Evaluation continues on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Armillaria mellea, also known as honey fungus or oak root fungus, has a wide host range (CABI 2021; Raabe, 1962); pear (Pyrus spp.) can be a host of this pathogen .</w:t>
      </w:r>
      <w:r>
        <w:rPr>
          <w:color w:val="F30000"/>
          <w:sz w:val="24"/>
          <w:szCs w:val="24"/>
        </w:rPr>
        <w:br/>
        <w:t xml:space="preserve">The pathogen occurs in landscapes and urban soils as well as a natural pathogen in forests and on lands converted to farming (Downer &amp; Faber, 2019). Armillaria mellea can spread though soil using rhizomorphs, a multicellular structure formed through the aggregation and interweaving of many hyphae (shoe-string-like surviving structures). Their appearance is similar to the roots of higher plants. The growth and distribution of A. mellea rhizomorphs are mainly located between 2.5 and 20 cm below the soil surface and are rare below 30 cm. Rhizomorphs grow slowly through the soil and searching for nutrients; disease foci can grow 0.2-2.5 m per year. When Armillaria mycelium/rhizomorph encounter the root, they start to grow epiphytically over the host root surface and produce branches of hyphae that grow into the tissues. Woody roots are more susceptible to infection by Armillaria spp. than the fine roots (Termorshuizen, 2000; Devkota &amp; Hammerschmidt, 2020).</w:t>
      </w:r>
      <w:r>
        <w:rPr>
          <w:color w:val="F30000"/>
          <w:sz w:val="24"/>
          <w:szCs w:val="24"/>
        </w:rPr>
        <w:br/>
        <w:t xml:space="preserve">Once trees are infected, Armillaria spp. can also spread by root-to-root contact. This root-to-root infection results in the outward expansion of clusters of diseased trees as neighboring trees subsequently become infected (Termorshuizen, 2000).</w:t>
      </w:r>
      <w:r>
        <w:rPr>
          <w:color w:val="F30000"/>
          <w:sz w:val="24"/>
          <w:szCs w:val="24"/>
        </w:rPr>
        <w:br/>
        <w:t xml:space="preserve">New sites of infection also can become established in non-infested areas of the orchard by moving infected root pieces through cultivation, erosion gullies, and careless tree removal practices (Cox, 2004); or when plants that are infected, or contain soil infested with A. mellea are introduced (Termorshuizen, 2000).</w:t>
      </w:r>
      <w:r>
        <w:rPr>
          <w:color w:val="F30000"/>
          <w:sz w:val="24"/>
          <w:szCs w:val="24"/>
        </w:rPr>
        <w:br/>
        <w:t xml:space="preserve">Besides its parasitic behavior, A. mellea can also persist as a saprophyte in the form of a mycelium, colonizing the dead roots and wood in the soil of e.g. orchards and timber plantations. The colonized and infected plant tissue or woody debris in soil serve as a long-term source of inoculum, colonizing and infecting the roots of new-planted trees through physical contact, which also increases the risk of mortality in the next rotation of trees. The saprophytic behavior enables the fungal inoculum residing inside the roots and wood to persist for many years in a forest stand (Kedves et al., 2021).</w:t>
      </w:r>
      <w:r>
        <w:rPr>
          <w:color w:val="F30000"/>
          <w:sz w:val="24"/>
          <w:szCs w:val="24"/>
        </w:rPr>
        <w:br/>
        <w:t xml:space="preserve">Armillaria mellea can also spread by basidiospores, although the spores are speculated to have low epidemiological importance relative to the infection by fungal rhizomorphs. Nevertheless, they are regarded as an important source of genetic variation within species and a means of long-distance dispersal. Difficulties in tracking the dispersal and establishment of windborne spores may have made it difficult to understand their absolute role in infection (Devkota &amp; Hammerschmidt, 2020).</w:t>
      </w:r>
      <w:r>
        <w:rPr>
          <w:color w:val="F30000"/>
          <w:sz w:val="24"/>
          <w:szCs w:val="24"/>
        </w:rPr>
        <w:br/>
        <w:t xml:space="preserve">Although A. mellea can spread by infected propagation material, however the major issue is planting orchards on land previously used for forestry (A. mellea is a common disease in forests).</w:t>
      </w:r>
      <w:r>
        <w:rPr>
          <w:color w:val="F30000"/>
          <w:sz w:val="24"/>
          <w:szCs w:val="24"/>
        </w:rPr>
        <w:br/>
        <w:t xml:space="preserve">[In responses to the questionnaire, NL commented that the pest was 'airborne and widespread in nature'. NL and SI did not consider plants for planting as the main pathway.]</w:t>
      </w:r>
      <w:r>
        <w:rPr>
          <w:color w:val="F30000"/>
          <w:sz w:val="24"/>
          <w:szCs w:val="24"/>
        </w:rPr>
        <w:br/>
        <w:t xml:space="preserve">The Fruit SEWG agreed that plants for planting should not be considered as a significant pathway compared to other pathways: it only infects weak plants and the role of nursery plants in infections may not be significant. Although Armillaria mellea can spread by infected propagation material, the main risk is when planting orchards on land previously used for forestry (Armillaria mellea is a common disease in forests). Nevertheless, the Fruit SEWG highlighted the lack of measures available when the pest becomes present in an orchard.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Armillaria mellea is a significant problem in e.g. forestry, it is not of major economic importance on apple and pear. The pathogen is most likely to be found in orchards established on recently cleared woodlands with well-drained sandy of clay soil (Schnabel, 2017). Affected trees usually show a general decline in vigour over many years. Sometimes trees that look healthy will suddenly wilt and die in a matter of weeks. The aboveground symptoms are similar to other root problems, including too much water, Phytophthora root rot, rodents, etc. The key symptom to look for is trees that are declining in infection centers (patches of diseased trees with the earliest infected trees typically in the middle) that potentially can expand annually (UC PMG, 2017b).</w:t>
      </w:r>
      <w:r>
        <w:rPr>
          <w:color w:val="606060"/>
          <w:sz w:val="24"/>
          <w:szCs w:val="24"/>
        </w:rPr>
        <w:br/>
        <w:br/>
        <w:t xml:space="preserve">[In responses to the questionnaire, NL commented that infection during pruning was only causing damage on weak plants. PL considered damage negligeable.]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Anselmi N, Saraceni A &amp; Anselmi A (2021) Incidence of Armillaria species in agrarian, forest and ornamental ecosystems of the Lazio region. Agriculture &amp; Forestry/Poljoprivreda i šumarstv 67(1).</w:t>
      </w:r>
    </w:p>
    <w:p>
      <w:pPr>
        <w:numPr>
          <w:ilvl w:val="0"/>
          <w:numId w:val="1"/>
        </w:numPr>
        <w:spacing w:before="0" w:after="0" w:line="240" w:lineRule="auto"/>
        <w:jc w:val="left"/>
        <w:rPr>
          <w:color w:val="0200C9"/>
          <w:sz w:val="24"/>
          <w:szCs w:val="24"/>
        </w:rPr>
      </w:pPr>
      <w:r>
        <w:rPr>
          <w:color w:val="0200C9"/>
          <w:sz w:val="24"/>
          <w:szCs w:val="24"/>
        </w:rPr>
        <w:t xml:space="preserve">Caruso FL (2017) Armillaria root rot. In Compendium of Blueberry, Cranberry, and Lingonberry Diseases and Pests 2nd edition (eds Polashock JJ, Caruso FL, Averill AL &amp; Schilder AC). American Phytopathological Society, St Paul, MN, USA. pages 12-13.</w:t>
      </w:r>
    </w:p>
    <w:p>
      <w:pPr>
        <w:numPr>
          <w:ilvl w:val="0"/>
          <w:numId w:val="1"/>
        </w:numPr>
        <w:spacing w:before="0" w:after="0" w:line="240" w:lineRule="auto"/>
        <w:jc w:val="left"/>
        <w:rPr>
          <w:color w:val="0200C9"/>
          <w:sz w:val="24"/>
          <w:szCs w:val="24"/>
        </w:rPr>
      </w:pPr>
      <w:r>
        <w:rPr>
          <w:color w:val="0200C9"/>
          <w:sz w:val="24"/>
          <w:szCs w:val="24"/>
        </w:rPr>
        <w:t xml:space="preserve">Cox KD (2004) Armillaria root rot of peach: detection of residual inoculum, biochemical characterization, and interspecies competition. PhD Thesis, University of Georgia, Athens. 164 pp.</w:t>
      </w:r>
    </w:p>
    <w:p>
      <w:pPr>
        <w:numPr>
          <w:ilvl w:val="0"/>
          <w:numId w:val="1"/>
        </w:numPr>
        <w:spacing w:before="0" w:after="0" w:line="240" w:lineRule="auto"/>
        <w:jc w:val="left"/>
        <w:rPr>
          <w:color w:val="0200C9"/>
          <w:sz w:val="24"/>
          <w:szCs w:val="24"/>
        </w:rPr>
      </w:pPr>
      <w:r>
        <w:rPr>
          <w:color w:val="0200C9"/>
          <w:sz w:val="24"/>
          <w:szCs w:val="24"/>
        </w:rPr>
        <w:t xml:space="preserve">Devkota P &amp; Hammerschmidt R (2020) The Infection process of Armillaria mellea and Armillaria solidipes. Physiological and Molecular Plant Pathology 112(4), 101543. DOI: 10.1016/j.pmpp.2020.101543</w:t>
      </w:r>
    </w:p>
    <w:p>
      <w:pPr>
        <w:numPr>
          <w:ilvl w:val="0"/>
          <w:numId w:val="1"/>
        </w:numPr>
        <w:spacing w:before="0" w:after="0" w:line="240" w:lineRule="auto"/>
        <w:jc w:val="left"/>
        <w:rPr>
          <w:color w:val="0200C9"/>
          <w:sz w:val="24"/>
          <w:szCs w:val="24"/>
        </w:rPr>
      </w:pPr>
      <w:r>
        <w:rPr>
          <w:color w:val="0200C9"/>
          <w:sz w:val="24"/>
          <w:szCs w:val="24"/>
        </w:rPr>
        <w:t xml:space="preserve">Downer J &amp; Faber B (2019) Non-chemical control of Armillaria mellea infection of Prunus persica. Journal of Plant Science and Phytopathology 3, 050-055. </w:t>
      </w:r>
      <w:hyperlink r:id="rId27916a7b26dcb575d" w:history="1">
        <w:r>
          <w:rPr>
            <w:color w:val="0200C9"/>
            <w:sz w:val="24"/>
            <w:szCs w:val="24"/>
          </w:rPr>
          <w:t xml:space="preserve">https://doi.org/10.29328/journal.jpsp.1001031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Guerrero JC, Pérez SF, Ferrada EQ, Cona LQ &amp; Bensch ET (2014) Phytopathogens of hazelnut (Corylus avellana L.) in southern Chile. Acta Horticulturae 1052, 269-274.</w:t>
      </w:r>
    </w:p>
    <w:p>
      <w:pPr>
        <w:numPr>
          <w:ilvl w:val="0"/>
          <w:numId w:val="1"/>
        </w:numPr>
        <w:spacing w:before="0" w:after="0" w:line="240" w:lineRule="auto"/>
        <w:jc w:val="left"/>
        <w:rPr>
          <w:color w:val="0200C9"/>
          <w:sz w:val="24"/>
          <w:szCs w:val="24"/>
        </w:rPr>
      </w:pPr>
      <w:r>
        <w:rPr>
          <w:color w:val="0200C9"/>
          <w:sz w:val="24"/>
          <w:szCs w:val="24"/>
        </w:rPr>
        <w:t xml:space="preserve">Kedves O, Shahab D, Champramary S, Chen L, Indic B, Bóka B, Nagy VD, Vágvölgyi C, Kredics L &amp; Sipos G (2021) Epidemiology, biotic interactions and biological control of Armillarioids in the Northern Hemisphere. Pathogens 10(1), 76. ttps://doi.org/10.3390/pathogens10010076</w:t>
      </w:r>
    </w:p>
    <w:p>
      <w:pPr>
        <w:numPr>
          <w:ilvl w:val="0"/>
          <w:numId w:val="1"/>
        </w:numPr>
        <w:spacing w:before="0" w:after="0" w:line="240" w:lineRule="auto"/>
        <w:jc w:val="left"/>
        <w:rPr>
          <w:color w:val="0200C9"/>
          <w:sz w:val="24"/>
          <w:szCs w:val="24"/>
        </w:rPr>
      </w:pPr>
      <w:r>
        <w:rPr>
          <w:color w:val="0200C9"/>
          <w:sz w:val="24"/>
          <w:szCs w:val="24"/>
        </w:rPr>
        <w:t xml:space="preserve">Palmieri L, Prodorutti D, Gobbin D, Pertot I &amp; Gessler C (2006). Role of barks used in highbush blueberry mulching on Armillaria spp. infections. [Italian] Giornate Fitopatologiche, Riccione (RN), 27-29 marzo 2006. Atti, volume secondo. 301-306.</w:t>
      </w:r>
    </w:p>
    <w:p>
      <w:pPr>
        <w:numPr>
          <w:ilvl w:val="0"/>
          <w:numId w:val="1"/>
        </w:numPr>
        <w:spacing w:before="0" w:after="0" w:line="240" w:lineRule="auto"/>
        <w:jc w:val="left"/>
        <w:rPr>
          <w:color w:val="0200C9"/>
          <w:sz w:val="24"/>
          <w:szCs w:val="24"/>
        </w:rPr>
      </w:pPr>
      <w:r>
        <w:rPr>
          <w:color w:val="0200C9"/>
          <w:sz w:val="24"/>
          <w:szCs w:val="24"/>
        </w:rPr>
        <w:t xml:space="preserve">Prodorutti D, Vanblaere T, Gobbin D, Pellegrini A, Gessler C &amp; Pertot I (2009) Genetic diversity of Armillaria spp. infecting highbush blueberry in Northern Italy (Trentino Region). Phytopathology 99(6), 651-658.</w:t>
      </w:r>
    </w:p>
    <w:p>
      <w:pPr>
        <w:numPr>
          <w:ilvl w:val="0"/>
          <w:numId w:val="1"/>
        </w:numPr>
        <w:spacing w:before="0" w:after="0" w:line="240" w:lineRule="auto"/>
        <w:jc w:val="left"/>
        <w:rPr>
          <w:color w:val="0200C9"/>
          <w:sz w:val="24"/>
          <w:szCs w:val="24"/>
        </w:rPr>
      </w:pPr>
      <w:r>
        <w:rPr>
          <w:color w:val="0200C9"/>
          <w:sz w:val="24"/>
          <w:szCs w:val="24"/>
        </w:rPr>
        <w:t xml:space="preserve">Raabe (1962). Host list of root rot fungus Armillaria mellea. Hilgardia 33 nr. 2</w:t>
      </w:r>
    </w:p>
    <w:p>
      <w:pPr>
        <w:numPr>
          <w:ilvl w:val="0"/>
          <w:numId w:val="1"/>
        </w:numPr>
        <w:spacing w:before="0" w:after="0" w:line="240" w:lineRule="auto"/>
        <w:jc w:val="left"/>
        <w:rPr>
          <w:color w:val="0200C9"/>
          <w:sz w:val="24"/>
          <w:szCs w:val="24"/>
        </w:rPr>
      </w:pPr>
      <w:r>
        <w:rPr>
          <w:color w:val="0200C9"/>
          <w:sz w:val="24"/>
          <w:szCs w:val="24"/>
        </w:rPr>
        <w:t xml:space="preserve">Raabe RD (2008) Plants resistant or susceptible to Armillaria mellea, the oak root fungus. University of California, Berkeley. </w:t>
      </w:r>
      <w:hyperlink r:id="rId57426a7b26dcb57cc" w:history="1">
        <w:r>
          <w:rPr>
            <w:color w:val="0200C9"/>
            <w:sz w:val="24"/>
            <w:szCs w:val="24"/>
          </w:rPr>
          <w:t xml:space="preserve">https://alamedabackyardgrowers</w:t>
        </w:r>
      </w:hyperlink>
      <w:r>
        <w:rPr>
          <w:color w:val="0200C9"/>
          <w:sz w:val="24"/>
          <w:szCs w:val="24"/>
        </w:rPr>
        <w:t xml:space="preserve">. org/wp-content/uploads/2019/01/List-of-Oak-Root-Fungus-Resistant-or-Susceptible-Trees-Plants. pdf.[accessed 28 Jul 2023].</w:t>
      </w:r>
    </w:p>
    <w:p>
      <w:pPr>
        <w:numPr>
          <w:ilvl w:val="0"/>
          <w:numId w:val="1"/>
        </w:numPr>
        <w:spacing w:before="0" w:after="0" w:line="240" w:lineRule="auto"/>
        <w:jc w:val="left"/>
        <w:rPr>
          <w:color w:val="0200C9"/>
          <w:sz w:val="24"/>
          <w:szCs w:val="24"/>
        </w:rPr>
      </w:pPr>
      <w:r>
        <w:rPr>
          <w:color w:val="0200C9"/>
          <w:sz w:val="24"/>
          <w:szCs w:val="24"/>
        </w:rPr>
        <w:t xml:space="preserve">Raziq F &amp; Fox RTV (2006). The integrated control of Armillaria mellea 2. Field experiments. Biological agriculture &amp; horticulture 23(3), 235-249.</w:t>
      </w:r>
    </w:p>
    <w:p>
      <w:pPr>
        <w:numPr>
          <w:ilvl w:val="0"/>
          <w:numId w:val="1"/>
        </w:numPr>
        <w:spacing w:before="0" w:after="0" w:line="240" w:lineRule="auto"/>
        <w:jc w:val="left"/>
        <w:rPr>
          <w:color w:val="0200C9"/>
          <w:sz w:val="24"/>
          <w:szCs w:val="24"/>
        </w:rPr>
      </w:pPr>
      <w:r>
        <w:rPr>
          <w:color w:val="0200C9"/>
          <w:sz w:val="24"/>
          <w:szCs w:val="24"/>
        </w:rPr>
        <w:t xml:space="preserve">Schnabel G (2017). Armillaria root rot. In Compendium of Apple and Pear Diseases and Pests 2nd edition (eds Sutton TB, Aldwinckle HS, Agnello AM &amp; Walgenbach JF). American Phytopathological Society, St Paul, MN, USA. pages 70-71.</w:t>
      </w:r>
    </w:p>
    <w:p>
      <w:pPr>
        <w:numPr>
          <w:ilvl w:val="0"/>
          <w:numId w:val="1"/>
        </w:numPr>
        <w:spacing w:before="0" w:after="0" w:line="240" w:lineRule="auto"/>
        <w:jc w:val="left"/>
        <w:rPr>
          <w:color w:val="0200C9"/>
          <w:sz w:val="24"/>
          <w:szCs w:val="24"/>
        </w:rPr>
      </w:pPr>
      <w:r>
        <w:rPr>
          <w:color w:val="0200C9"/>
          <w:sz w:val="24"/>
          <w:szCs w:val="24"/>
        </w:rPr>
        <w:t xml:space="preserve">Termorshuizen AJ (2000) Ecology and epidemiology of Armillaria. In Armillaria Root Rot: Biology and Control of Honey Fungus (ed Fox RTV). Andover, Intercept, Pages 115-131.</w:t>
      </w:r>
    </w:p>
    <w:p>
      <w:pPr>
        <w:numPr>
          <w:ilvl w:val="0"/>
          <w:numId w:val="1"/>
        </w:numPr>
        <w:spacing w:before="0" w:after="0" w:line="240" w:lineRule="auto"/>
        <w:jc w:val="left"/>
        <w:rPr>
          <w:color w:val="0200C9"/>
          <w:sz w:val="24"/>
          <w:szCs w:val="24"/>
        </w:rPr>
      </w:pPr>
      <w:r>
        <w:rPr>
          <w:color w:val="0200C9"/>
          <w:sz w:val="24"/>
          <w:szCs w:val="24"/>
        </w:rPr>
        <w:t xml:space="preserve">Thomidis T &amp; Exadaktylou E (2012) Effectiveness of cyproconazole to control Armillaria root rot of apple, walnut and kiwifruit. Crop Protection 36, 49-51.</w:t>
      </w:r>
    </w:p>
    <w:p>
      <w:pPr>
        <w:numPr>
          <w:ilvl w:val="0"/>
          <w:numId w:val="1"/>
        </w:numPr>
        <w:spacing w:before="0" w:after="0" w:line="240" w:lineRule="auto"/>
        <w:jc w:val="left"/>
        <w:rPr>
          <w:color w:val="0200C9"/>
          <w:sz w:val="24"/>
          <w:szCs w:val="24"/>
        </w:rPr>
      </w:pPr>
      <w:r>
        <w:rPr>
          <w:color w:val="0200C9"/>
          <w:sz w:val="24"/>
          <w:szCs w:val="24"/>
        </w:rPr>
        <w:t xml:space="preserve">UC PMG (2017a) Armillaria root rot (oak root fungus). In Apple - Pest management guidelines for agriculture. University of California Agriculture and Natural Resources, UC IPM Pest Management Guidelines: UC ANR Publication 3432 page 72.</w:t>
      </w:r>
    </w:p>
    <w:p>
      <w:pPr>
        <w:numPr>
          <w:ilvl w:val="0"/>
          <w:numId w:val="1"/>
        </w:numPr>
        <w:spacing w:before="0" w:after="0" w:line="240" w:lineRule="auto"/>
        <w:jc w:val="left"/>
        <w:rPr>
          <w:color w:val="0200C9"/>
          <w:sz w:val="24"/>
          <w:szCs w:val="24"/>
        </w:rPr>
      </w:pPr>
      <w:r>
        <w:rPr>
          <w:color w:val="0200C9"/>
          <w:sz w:val="24"/>
          <w:szCs w:val="24"/>
        </w:rPr>
        <w:t xml:space="preserve">UC PMG (2017b) Armillaria root and crown rot (oak root fungus). In Pear - Pest management guidelines for agriculture. University of California Agriculture and Natural Resources, UC IPM Pest Management Guidelines: UC ANR Publication 3455 page 78-79.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26838">
    <w:multiLevelType w:val="hybridMultilevel"/>
    <w:lvl w:ilvl="0" w:tplc="21825556">
      <w:start w:val="1"/>
      <w:numFmt w:val="decimal"/>
      <w:lvlText w:val="%1."/>
      <w:lvlJc w:val="left"/>
      <w:pPr>
        <w:ind w:left="720" w:hanging="360"/>
      </w:pPr>
    </w:lvl>
    <w:lvl w:ilvl="1" w:tplc="21825556" w:tentative="1">
      <w:start w:val="1"/>
      <w:numFmt w:val="lowerLetter"/>
      <w:lvlText w:val="%2."/>
      <w:lvlJc w:val="left"/>
      <w:pPr>
        <w:ind w:left="1440" w:hanging="360"/>
      </w:pPr>
    </w:lvl>
    <w:lvl w:ilvl="2" w:tplc="21825556" w:tentative="1">
      <w:start w:val="1"/>
      <w:numFmt w:val="lowerRoman"/>
      <w:lvlText w:val="%3."/>
      <w:lvlJc w:val="right"/>
      <w:pPr>
        <w:ind w:left="2160" w:hanging="180"/>
      </w:pPr>
    </w:lvl>
    <w:lvl w:ilvl="3" w:tplc="21825556" w:tentative="1">
      <w:start w:val="1"/>
      <w:numFmt w:val="decimal"/>
      <w:lvlText w:val="%4."/>
      <w:lvlJc w:val="left"/>
      <w:pPr>
        <w:ind w:left="2880" w:hanging="360"/>
      </w:pPr>
    </w:lvl>
    <w:lvl w:ilvl="4" w:tplc="21825556" w:tentative="1">
      <w:start w:val="1"/>
      <w:numFmt w:val="lowerLetter"/>
      <w:lvlText w:val="%5."/>
      <w:lvlJc w:val="left"/>
      <w:pPr>
        <w:ind w:left="3600" w:hanging="360"/>
      </w:pPr>
    </w:lvl>
    <w:lvl w:ilvl="5" w:tplc="21825556" w:tentative="1">
      <w:start w:val="1"/>
      <w:numFmt w:val="lowerRoman"/>
      <w:lvlText w:val="%6."/>
      <w:lvlJc w:val="right"/>
      <w:pPr>
        <w:ind w:left="4320" w:hanging="180"/>
      </w:pPr>
    </w:lvl>
    <w:lvl w:ilvl="6" w:tplc="21825556" w:tentative="1">
      <w:start w:val="1"/>
      <w:numFmt w:val="decimal"/>
      <w:lvlText w:val="%7."/>
      <w:lvlJc w:val="left"/>
      <w:pPr>
        <w:ind w:left="5040" w:hanging="360"/>
      </w:pPr>
    </w:lvl>
    <w:lvl w:ilvl="7" w:tplc="21825556" w:tentative="1">
      <w:start w:val="1"/>
      <w:numFmt w:val="lowerLetter"/>
      <w:lvlText w:val="%8."/>
      <w:lvlJc w:val="left"/>
      <w:pPr>
        <w:ind w:left="5760" w:hanging="360"/>
      </w:pPr>
    </w:lvl>
    <w:lvl w:ilvl="8" w:tplc="21825556" w:tentative="1">
      <w:start w:val="1"/>
      <w:numFmt w:val="lowerRoman"/>
      <w:lvlText w:val="%9."/>
      <w:lvlJc w:val="right"/>
      <w:pPr>
        <w:ind w:left="6480" w:hanging="180"/>
      </w:pPr>
    </w:lvl>
  </w:abstractNum>
  <w:abstractNum w:abstractNumId="37726837">
    <w:multiLevelType w:val="hybridMultilevel"/>
    <w:lvl w:ilvl="0" w:tplc="38086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26837">
    <w:abstractNumId w:val="37726837"/>
  </w:num>
  <w:num w:numId="37726838">
    <w:abstractNumId w:val="377268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5454059" Type="http://schemas.microsoft.com/office/2011/relationships/commentsExtended" Target="commentsExtended.xml"/><Relationship Id="rId30856a7b26dcb539f" Type="http://schemas.openxmlformats.org/officeDocument/2006/relationships/hyperlink" Target="https://www.gbif.org/fr/species/2536891" TargetMode="External"/><Relationship Id="rId27916a7b26dcb575d" Type="http://schemas.openxmlformats.org/officeDocument/2006/relationships/hyperlink" Target="https://doi.org/10.29328/journal.jpsp.1001031" TargetMode="External"/><Relationship Id="rId57426a7b26dcb57cc" Type="http://schemas.openxmlformats.org/officeDocument/2006/relationships/hyperlink" Target="https://alamedabackyardgrower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