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Agrobacterium (Ti-plasmid) {Agrobacterium tumefaciens} (AGRBTU)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Agrobacterium tumefaciens</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genus Agrobacterium (= Rhizobium) can carry plasmids which, in the case of a Ti-plasmid (tumour-inducing plasmid) can induce galls or tumors (crown gall) in many different host plants.</w:t>
      </w:r>
      <w:r>
        <w:rPr>
          <w:color w:val="0200C9"/>
          <w:sz w:val="24"/>
          <w:szCs w:val="24"/>
        </w:rPr>
        <w:br/>
        <w:t xml:space="preserve">Crown gall infections result following transfer of a part of the Ti-plasmid (T-DNA) into the host plant. T-DNA expression induces an overproduction of plant hormones which stimulate plant cell division and enlargement, i.e. gall formation. Bacteria without this plasmid are non pathogenic (Moore, revised by Burr, 2017).</w:t>
      </w:r>
      <w:r>
        <w:rPr>
          <w:color w:val="0200C9"/>
          <w:sz w:val="24"/>
          <w:szCs w:val="24"/>
        </w:rPr>
        <w:br/>
        <w:t xml:space="preserve">Considering host-plant range: Bradbury (1986, cited in CABI 2021) listed 391 susceptible plant genera which have been reported with crown gall symptoms, many of which have multiple susceptible species within the genus. Crown gall disease, however, has been reported on only a few of these plant species in their natural habitat. Reference strains from relatively few host plant species are held in public collections (CABI 2021). Typically, isolates from nature exhibit some degree of host specificity (limited host range) (Anderson &amp; Moore, 1979; Moore &amp; Cooksey, 1981, cited in CABI, 2021). The concept of a limited host range for Rhizobium strains contrasts with the widely published idea of a wide host range (de Cleene &amp; de Ley, 1976). A reason for this seeming discrepancy is that most research on host range is based on “artificial” laboratory inoculations, resulting in a wide host range. There is strong evidence from molecular studies that host range is controlled by genes on the Ti plasmid and the bacterial chromosome (Loper &amp; Kado, 1979; Close et al., 1985; Huang et al., 1990; D’Souza et al., 1993, cited in CABI, 2021).</w:t>
      </w:r>
      <w:r>
        <w:rPr>
          <w:color w:val="0200C9"/>
          <w:sz w:val="24"/>
          <w:szCs w:val="24"/>
        </w:rPr>
        <w:br/>
        <w:br/>
        <w:t xml:space="preserve">In walnut both species/biovars are reported:</w:t>
      </w:r>
      <w:r>
        <w:rPr>
          <w:color w:val="0200C9"/>
          <w:sz w:val="24"/>
          <w:szCs w:val="24"/>
        </w:rPr>
        <w:br/>
        <w:t xml:space="preserve">1) Agrobacterium tumefaciens biovar 1 = Agrobacterium radiobacter = Rhizobium radiobacter (note: with Ti-plasmid: Agrobacterium tumefaciens, without Ti-plasmid Agrobacterium radiobacter - taxonomic discussion on whether presence/absence of a plasmid could determine the name), this datasheet is on bacterium 1) not 2)</w:t>
      </w:r>
      <w:r>
        <w:rPr>
          <w:color w:val="0200C9"/>
          <w:sz w:val="24"/>
          <w:szCs w:val="24"/>
        </w:rPr>
        <w:br/>
        <w:t xml:space="preserve">2) Agrobacterium tumefaciens biovar 2 = Rhizobium rhizogenes</w:t>
      </w:r>
      <w:r>
        <w:rPr>
          <w:color w:val="0200C9"/>
          <w:sz w:val="24"/>
          <w:szCs w:val="24"/>
        </w:rPr>
        <w:br/>
        <w:t xml:space="preserve">Both bacteria can have a tumour-inducing plasmid (Ti-plasmid), both can infect walnut. Bacteria without plasmid do not cause disease.</w:t>
      </w:r>
      <w:r>
        <w:rPr>
          <w:color w:val="0200C9"/>
          <w:sz w:val="24"/>
          <w:szCs w:val="24"/>
        </w:rPr>
        <w:br/>
        <w:t xml:space="preserve">Remark: Both bacteria can also have a rhizome-inducing plasmid (Ri-plasmid), causing hairy roots or crazy roots.</w:t>
      </w:r>
      <w:r>
        <w:rPr>
          <w:color w:val="0200C9"/>
          <w:sz w:val="24"/>
          <w:szCs w:val="24"/>
        </w:rPr>
        <w:br/>
        <w:t xml:space="preserve">In walnut, the EWG considered that 'Agrobacterium with Ti-plasmid' was the pest of concern. Since the Ti-plasmid may be exchanged with other Agrobacterium species, the Fruit SEWG recommended to replace 'Agrobacterium tumefasciens' by 'Agrobacterium'.</w:t>
      </w:r>
      <w:r>
        <w:rPr>
          <w:color w:val="0200C9"/>
          <w:sz w:val="24"/>
          <w:szCs w:val="24"/>
        </w:rPr>
        <w:br/>
        <w:br/>
        <w:t xml:space="preserve">For similar reasons, 'Agrobacterium with Ti-plasmid' is also the pest of concern for all the other concerned host plants.</w:t>
      </w:r>
      <w:r>
        <w:rPr>
          <w:color w:val="0200C9"/>
          <w:sz w:val="24"/>
          <w:szCs w:val="24"/>
        </w:rPr>
        <w:br/>
        <w:br/>
        <w:t xml:space="preserve">Although the disease is not caused by a clear single taxonomic entity (if considering the bacteria), this criteria can be considered as fulfilled when considering the Ti-plasmid.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(1992); Bulgaria (1993); Cyprus (2011); Czech Republic (2011); Denmark (1993); Estonia (1992); Finland (1992); France (1993); Germany (1993); Greece (1992); Hungary (1992); Italy (1992); Netherlands (1992); Poland (2015); Romania (1992); Slovakia (2003); Spain (1992); Sweden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0606ab6890fb32e3"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Juglans regia (IUGRE)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No PM4 available for Juglans / walnut.</w:t>
      </w:r>
      <w:r>
        <w:rPr>
          <w:color w:val="0200C9"/>
          <w:sz w:val="24"/>
          <w:szCs w:val="24"/>
        </w:rPr>
        <w:br/>
        <w:t xml:space="preserve">Remark: the pest is mentioned in other PM4’s: PM4/008(2) grapevine, PM4/010(2) Rubus, PM4/018(1) Vaccinium, PM4/021(2) rose, PM4/027(1) Malus, Pyrus and Cydonia, PM4/029(1) cherry, PM4/030(1) apricot, peach and plum, PM4/031(1) hazelnut, PM4/034(1) herbaceous ornamentals.</w:t>
      </w:r>
      <w:r>
        <w:rPr>
          <w:color w:val="0200C9"/>
          <w:sz w:val="24"/>
          <w:szCs w:val="24"/>
        </w:rPr>
        <w:br/>
        <w:t xml:space="preserve">When responding to the questionnaire, FR and SI suggested deregulation. In particular SI considered that occasional findings 'do not pose significant economic losses'. FR considered that effective and feasible measures were not available.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(excluding seeds): yes, plant material can be a pathway for Agrobacterium tumefaciens. Epstein et al (2008) showed that symptomless walnut trees originating from a position next to a tree with symptoms was 4x more likely to develop symptoms in a field free from Agrobacterium tumefaciens, than a symptomless tree originating from a position next to trees without symptoms. For new planting sites infected plant material is the major dissemination pathway (CABI, 2021).</w:t>
      </w:r>
      <w:r>
        <w:rPr>
          <w:color w:val="0200C9"/>
          <w:sz w:val="24"/>
          <w:szCs w:val="24"/>
        </w:rPr>
        <w:br/>
        <w:t xml:space="preserve">Soil: yes, Agrobacterium tumefaciens is a common soil-borne bacterium (e.g. Epstein et al., 2008), present in many European countries. Crown gall occurs worldwide in nurseries, orchards and landscapes (cultivated and natural), but it is especially troublesome in nurseries (CABI, 2021).</w:t>
      </w:r>
      <w:r>
        <w:rPr>
          <w:color w:val="0200C9"/>
          <w:sz w:val="24"/>
          <w:szCs w:val="24"/>
        </w:rPr>
        <w:br/>
        <w:t xml:space="preserve">Seeds: no. However when seeds fall on contaminated soil, there is a risk that seeds might act as a pathway (Kluepfel et al., 2008).</w:t>
      </w:r>
      <w:r>
        <w:rPr>
          <w:color w:val="0200C9"/>
          <w:sz w:val="24"/>
          <w:szCs w:val="24"/>
        </w:rPr>
        <w:br/>
        <w:t xml:space="preserve">Contaminated tools (and water): yes, tools may become contaminated with the pathogen upon contact with infested soil or by cutting through infested plant material (Fichtner, 2018).</w:t>
      </w:r>
      <w:r>
        <w:rPr>
          <w:color w:val="0200C9"/>
          <w:sz w:val="24"/>
          <w:szCs w:val="24"/>
        </w:rPr>
        <w:br/>
        <w:t xml:space="preserve">Since Agrobacterium tumefaciens is a common soilborne bacterium and present in many fields, there are doubts whether plants for planting can be considered as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Crown gall can decrease walnut tree productivity. For every quarter of trunk circumference that was galled, there was a 12% decrease in cumulative nut yield over the first 4 years of production (Epstein et al., 2008), however, many walnut trees live to maturity even with crown gall infection (Fichtner, 208). Impact is also dependent on the rootstock used. Juglans regia seems to be less susceptible to crown gall compared to rootstock ‘Paradox’ (hybrid with J. hindsii). Many reports from California are available on the impact of Agrobacterium tumefaciens in walnut (e.g. Kluepfel et al., 2012). There are no reports on similar observations from Europe.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Evidence of its economic impact is available in the literature and was rated here for young plants only (Medium for young plants. No impact for old plants when they survived).</w:t>
      </w:r>
      <w:r>
        <w:rPr>
          <w:color w:val="606060"/>
          <w:sz w:val="24"/>
          <w:szCs w:val="24"/>
        </w:rPr>
        <w:br/>
        <w:t xml:space="preserve">Economic impact depends on environmental conditions and stress factors.</w:t>
      </w:r>
      <w:r>
        <w:rPr>
          <w:color w:val="606060"/>
          <w:sz w:val="24"/>
          <w:szCs w:val="24"/>
        </w:rPr>
        <w:br/>
        <w:t xml:space="preserve">When the plant get older it can adapt to the pathogen.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Hygiene measures to avoid spread with contaminated tools (Epstein et al., 2008).</w:t>
      </w:r>
      <w:r>
        <w:rPr>
          <w:color w:val="F30000"/>
          <w:sz w:val="24"/>
          <w:szCs w:val="24"/>
        </w:rPr>
        <w:br/>
        <w:t xml:space="preserve">Proper storage of bareroot trees before planting: trees in prolonged (17-day), bare-root, unrefrigerated storage before transplanting were associated with higher crown-gall incidence (Epstein et al., 2008).</w:t>
      </w:r>
      <w:r>
        <w:rPr>
          <w:color w:val="F30000"/>
          <w:sz w:val="24"/>
          <w:szCs w:val="24"/>
        </w:rPr>
        <w:br/>
        <w:t xml:space="preserve">Soil fumigation (Epstein et al., 2008), although soil fumigants might no longer be available (depending on legislation).</w:t>
      </w:r>
      <w:r>
        <w:rPr>
          <w:color w:val="F30000"/>
          <w:sz w:val="24"/>
          <w:szCs w:val="24"/>
        </w:rPr>
        <w:br/>
        <w:t xml:space="preserve">Choice of rootstock – rootstock Paradox is susceptible to Agrobacterium tumefaciens; evaluation programs are set up to screen for resistance against Agrobacterium tumefaciens (e.g. Kluepfel et al., 2012). However other rootstocks may be of lower agricultural interest (Grant and McGranahan, 2005) and Fichther (2018) mentioned that there are not many rootstocks resistant to Agrobacterium tumefaciens.</w:t>
      </w:r>
      <w:r>
        <w:rPr>
          <w:color w:val="F30000"/>
          <w:sz w:val="24"/>
          <w:szCs w:val="24"/>
        </w:rPr>
        <w:br/>
        <w:t xml:space="preserve">However, such measures are likely to be of little effect, particularly taking into account that the bacterium is omnipresent, in the soil and on many different hosts, with clear symptoms to totally symptomless.</w:t>
      </w:r>
      <w:r>
        <w:rPr>
          <w:color w:val="F30000"/>
          <w:sz w:val="24"/>
          <w:szCs w:val="24"/>
        </w:rPr>
        <w:br/>
        <w:br/>
        <w:t xml:space="preserve">However, since symptom expression was highly dependent on environmental conditions, and that testing was probably not reliable enough for asymptomatic plants, the Fruit SEWG considered that there was no feasible and effective measures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uncertainty whether economic impact should be considered as unacceptable. No effective and feasible measures available. Several other uncertainties.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Rhizobium radiobacter. Crop Protection Compendium. (last accessed on 19/Mar/2024). </w:t>
      </w:r>
      <w:hyperlink r:id="rId89896ab6890fb37bd" w:history="1">
        <w:r>
          <w:rPr>
            <w:color w:val="0200C9"/>
            <w:sz w:val="24"/>
            <w:szCs w:val="24"/>
          </w:rPr>
          <w:t xml:space="preserve">https://www.cabidigitallibrary.org/doi/10.1079/cabicompendium.3745</w:t>
        </w:r>
      </w:hyperlink>
    </w:p>
    <w:p>
      <w:pPr>
        <w:numPr>
          <w:ilvl w:val="0"/>
          <w:numId w:val="1"/>
        </w:numPr>
        <w:spacing w:before="0" w:after="0" w:line="240" w:lineRule="auto"/>
        <w:jc w:val="left"/>
        <w:rPr>
          <w:color w:val="0200C9"/>
          <w:sz w:val="24"/>
          <w:szCs w:val="24"/>
        </w:rPr>
      </w:pPr>
      <w:r>
        <w:rPr>
          <w:color w:val="0200C9"/>
          <w:sz w:val="24"/>
          <w:szCs w:val="24"/>
        </w:rPr>
        <w:t xml:space="preserve">Epstein L, Kaur S, McKenna JR, Grant JA, Olson WH &amp; Reil WO (2008) Crown gall can spread between walnut trees in nurseries and reduce future yields. California Agriculture 62(3) 111-115.</w:t>
      </w:r>
    </w:p>
    <w:p>
      <w:pPr>
        <w:numPr>
          <w:ilvl w:val="0"/>
          <w:numId w:val="1"/>
        </w:numPr>
        <w:spacing w:before="0" w:after="0" w:line="240" w:lineRule="auto"/>
        <w:jc w:val="left"/>
        <w:rPr>
          <w:color w:val="0200C9"/>
          <w:sz w:val="24"/>
          <w:szCs w:val="24"/>
        </w:rPr>
      </w:pPr>
      <w:r>
        <w:rPr>
          <w:color w:val="0200C9"/>
          <w:sz w:val="24"/>
          <w:szCs w:val="24"/>
        </w:rPr>
        <w:t xml:space="preserve">Fichtner EJ (2018) Crown gall on walnuts: assessing origin of infection, disease management and prevention. Nut, Olive And Prune Programmatic News, Agriculture and Natural Resources, University of California. Published on: December 13, 2018 (accessed on 17/Mar/2024). </w:t>
      </w:r>
      <w:hyperlink r:id="rId70466ab6890fb37fc" w:history="1">
        <w:r>
          <w:rPr>
            <w:color w:val="0200C9"/>
            <w:sz w:val="24"/>
            <w:szCs w:val="24"/>
          </w:rPr>
          <w:t xml:space="preserve">https://ucanr.edu/blogs/blogcore/postdetail.cfm?postnum=28927</w:t>
        </w:r>
      </w:hyperlink>
    </w:p>
    <w:p>
      <w:pPr>
        <w:numPr>
          <w:ilvl w:val="0"/>
          <w:numId w:val="1"/>
        </w:numPr>
        <w:spacing w:before="0" w:after="0" w:line="240" w:lineRule="auto"/>
        <w:jc w:val="left"/>
        <w:rPr>
          <w:color w:val="0200C9"/>
          <w:sz w:val="24"/>
          <w:szCs w:val="24"/>
        </w:rPr>
      </w:pPr>
      <w:r>
        <w:rPr>
          <w:color w:val="0200C9"/>
          <w:sz w:val="24"/>
          <w:szCs w:val="24"/>
        </w:rPr>
        <w:t xml:space="preserve">Grant JA, McGranahan GH (2005) English walnut rootstocks help avoid blackline disease, but produce less than ´Paradox´ hybrid. California Agriculture 59, 249–251. Available online: </w:t>
      </w:r>
      <w:hyperlink r:id="rId80656ab6890fb3822" w:history="1">
        <w:r>
          <w:rPr>
            <w:color w:val="0200C9"/>
            <w:sz w:val="24"/>
            <w:szCs w:val="24"/>
          </w:rPr>
          <w:t xml:space="preserve">http://californiaagriculture.ucanr.org/landingpage.cfm?article=ca.v059n04p249&amp;fulltext=yes</w:t>
        </w:r>
      </w:hyperlink>
    </w:p>
    <w:p>
      <w:pPr>
        <w:numPr>
          <w:ilvl w:val="0"/>
          <w:numId w:val="1"/>
        </w:numPr>
        <w:spacing w:before="0" w:after="0" w:line="240" w:lineRule="auto"/>
        <w:jc w:val="left"/>
        <w:rPr>
          <w:color w:val="0200C9"/>
          <w:sz w:val="24"/>
          <w:szCs w:val="24"/>
        </w:rPr>
      </w:pPr>
      <w:r>
        <w:rPr>
          <w:color w:val="0200C9"/>
          <w:sz w:val="24"/>
          <w:szCs w:val="24"/>
        </w:rPr>
        <w:t xml:space="preserve">Kluepfel DA, McClean AE, Yakabe LE, Maccree MM &amp; Parker SR (2010) Detection and implication of early Agrobacterium tumefaciens infection of paradox seeds and seedlings. Acta Horticulturae 861, 497-500. DOI: 10.17660/ActaHortic.2010.861.70</w:t>
      </w:r>
    </w:p>
    <w:p>
      <w:pPr>
        <w:numPr>
          <w:ilvl w:val="0"/>
          <w:numId w:val="1"/>
        </w:numPr>
        <w:spacing w:before="0" w:after="0" w:line="240" w:lineRule="auto"/>
        <w:jc w:val="left"/>
        <w:rPr>
          <w:color w:val="0200C9"/>
          <w:sz w:val="24"/>
          <w:szCs w:val="24"/>
        </w:rPr>
      </w:pPr>
      <w:r>
        <w:rPr>
          <w:color w:val="0200C9"/>
          <w:sz w:val="24"/>
          <w:szCs w:val="24"/>
        </w:rPr>
        <w:t xml:space="preserve">Kluepfel D, Aradhya M, Maccree M, Moersfelder J, McClean A &amp; Hackett W (2012) Evaluation of wild Juglans species for crown gall resistance Walnut Research Conference. 313-317. Information University of California Agriculture and Natural Resources (UCANR) (last accessed on 17/Apr/2024) </w:t>
      </w:r>
      <w:hyperlink r:id="rId41326ab6890fb3868" w:history="1">
        <w:r>
          <w:rPr>
            <w:color w:val="0200C9"/>
            <w:sz w:val="24"/>
            <w:szCs w:val="24"/>
          </w:rPr>
          <w:t xml:space="preserve">https://cekings.ucanr.edu/files/19375.pdf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820528">
    <w:multiLevelType w:val="hybridMultilevel"/>
    <w:lvl w:ilvl="0" w:tplc="18961017">
      <w:start w:val="1"/>
      <w:numFmt w:val="decimal"/>
      <w:lvlText w:val="%1."/>
      <w:lvlJc w:val="left"/>
      <w:pPr>
        <w:ind w:left="720" w:hanging="360"/>
      </w:pPr>
    </w:lvl>
    <w:lvl w:ilvl="1" w:tplc="18961017" w:tentative="1">
      <w:start w:val="1"/>
      <w:numFmt w:val="lowerLetter"/>
      <w:lvlText w:val="%2."/>
      <w:lvlJc w:val="left"/>
      <w:pPr>
        <w:ind w:left="1440" w:hanging="360"/>
      </w:pPr>
    </w:lvl>
    <w:lvl w:ilvl="2" w:tplc="18961017" w:tentative="1">
      <w:start w:val="1"/>
      <w:numFmt w:val="lowerRoman"/>
      <w:lvlText w:val="%3."/>
      <w:lvlJc w:val="right"/>
      <w:pPr>
        <w:ind w:left="2160" w:hanging="180"/>
      </w:pPr>
    </w:lvl>
    <w:lvl w:ilvl="3" w:tplc="18961017" w:tentative="1">
      <w:start w:val="1"/>
      <w:numFmt w:val="decimal"/>
      <w:lvlText w:val="%4."/>
      <w:lvlJc w:val="left"/>
      <w:pPr>
        <w:ind w:left="2880" w:hanging="360"/>
      </w:pPr>
    </w:lvl>
    <w:lvl w:ilvl="4" w:tplc="18961017" w:tentative="1">
      <w:start w:val="1"/>
      <w:numFmt w:val="lowerLetter"/>
      <w:lvlText w:val="%5."/>
      <w:lvlJc w:val="left"/>
      <w:pPr>
        <w:ind w:left="3600" w:hanging="360"/>
      </w:pPr>
    </w:lvl>
    <w:lvl w:ilvl="5" w:tplc="18961017" w:tentative="1">
      <w:start w:val="1"/>
      <w:numFmt w:val="lowerRoman"/>
      <w:lvlText w:val="%6."/>
      <w:lvlJc w:val="right"/>
      <w:pPr>
        <w:ind w:left="4320" w:hanging="180"/>
      </w:pPr>
    </w:lvl>
    <w:lvl w:ilvl="6" w:tplc="18961017" w:tentative="1">
      <w:start w:val="1"/>
      <w:numFmt w:val="decimal"/>
      <w:lvlText w:val="%7."/>
      <w:lvlJc w:val="left"/>
      <w:pPr>
        <w:ind w:left="5040" w:hanging="360"/>
      </w:pPr>
    </w:lvl>
    <w:lvl w:ilvl="7" w:tplc="18961017" w:tentative="1">
      <w:start w:val="1"/>
      <w:numFmt w:val="lowerLetter"/>
      <w:lvlText w:val="%8."/>
      <w:lvlJc w:val="left"/>
      <w:pPr>
        <w:ind w:left="5760" w:hanging="360"/>
      </w:pPr>
    </w:lvl>
    <w:lvl w:ilvl="8" w:tplc="18961017" w:tentative="1">
      <w:start w:val="1"/>
      <w:numFmt w:val="lowerRoman"/>
      <w:lvlText w:val="%9."/>
      <w:lvlJc w:val="right"/>
      <w:pPr>
        <w:ind w:left="6480" w:hanging="180"/>
      </w:pPr>
    </w:lvl>
  </w:abstractNum>
  <w:abstractNum w:abstractNumId="92820527">
    <w:multiLevelType w:val="hybridMultilevel"/>
    <w:lvl w:ilvl="0" w:tplc="145142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820527">
    <w:abstractNumId w:val="92820527"/>
  </w:num>
  <w:num w:numId="92820528">
    <w:abstractNumId w:val="928205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1105444" Type="http://schemas.microsoft.com/office/2011/relationships/commentsExtended" Target="commentsExtended.xml"/><Relationship Id="rId50606ab6890fb32e3" Type="http://schemas.openxmlformats.org/officeDocument/2006/relationships/hyperlink" Target="https://gd.eppo.int/" TargetMode="External"/><Relationship Id="rId89896ab6890fb37bd" Type="http://schemas.openxmlformats.org/officeDocument/2006/relationships/hyperlink" Target="https://www.cabidigitallibrary.org/doi/10.1079/cabicompendium.3745" TargetMode="External"/><Relationship Id="rId70466ab6890fb37fc" Type="http://schemas.openxmlformats.org/officeDocument/2006/relationships/hyperlink" Target="https://ucanr.edu/blogs/blogcore/postdetail.cfm?postnum=28927" TargetMode="External"/><Relationship Id="rId80656ab6890fb3822" Type="http://schemas.openxmlformats.org/officeDocument/2006/relationships/hyperlink" Target="http://californiaagriculture.ucanr.org/landingpage.cfm?article=ca.v059n04p249&amp;fulltext=yes" TargetMode="External"/><Relationship Id="rId41326ab6890fb3868" Type="http://schemas.openxmlformats.org/officeDocument/2006/relationships/hyperlink" Target="https://cekings.ucanr.edu/files/19375.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