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836a3fb741f067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available for Juglans / walnut.</w:t>
      </w:r>
      <w:r>
        <w:rPr>
          <w:color w:val="0200C9"/>
          <w:sz w:val="24"/>
          <w:szCs w:val="24"/>
        </w:rPr>
        <w:br/>
        <w:t xml:space="preserve">Remark: the pest is mentioned in other PM4’s: PM4/008(2) grapevine, PM4/010(2) Rubus, PM4/018(1) Vaccinium, PM4/021(2) rose, PM4/027(1) Malus, Pyrus and Cydonia, PM4/029(1) cherry, PM4/030(1) apricot, peach and plum, PM4/031(1) hazelnut, PM4/034(1) herbaceous ornamentals.</w:t>
      </w:r>
      <w:r>
        <w:rPr>
          <w:color w:val="0200C9"/>
          <w:sz w:val="24"/>
          <w:szCs w:val="24"/>
        </w:rPr>
        <w:br/>
        <w:t xml:space="preserve">When responding to the questionnaire, FR and SI suggested deregulation. In particular SI considered that occasional findings 'do not pose significant economic losses'. FR considered that effective and feasible measures were not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(excluding seeds): yes, plant material can be a pathway for Agrobacterium tumefaciens. Epstein et al (2008) showed that symptomless walnut trees originating from a position next to a tree with symptoms was 4x more likely to develop symptoms in a field free from Agrobacterium tumefaciens, than a symptomless tree originating from a position next to trees without symptoms. For new planting sites infected plant material is the major dissemination pathway (CABI, 2021).</w:t>
      </w:r>
      <w:r>
        <w:rPr>
          <w:color w:val="0200C9"/>
          <w:sz w:val="24"/>
          <w:szCs w:val="24"/>
        </w:rPr>
        <w:br/>
        <w:t xml:space="preserve">Soil: yes, Agrobacterium tumefaciens is a common soil-borne bacterium (e.g. Epstein et al., 2008), present in many European countries. Crown gall occurs worldwide in nurseries, orchards and landscapes (cultivated and natural), but it is especially troublesome in nurseries (CABI, 2021).</w:t>
      </w:r>
      <w:r>
        <w:rPr>
          <w:color w:val="0200C9"/>
          <w:sz w:val="24"/>
          <w:szCs w:val="24"/>
        </w:rPr>
        <w:br/>
        <w:t xml:space="preserve">Seeds: no. However when seeds fall on contaminated soil, there is a risk that seeds might act as a pathway (Kluepfel et al., 2008).</w:t>
      </w:r>
      <w:r>
        <w:rPr>
          <w:color w:val="0200C9"/>
          <w:sz w:val="24"/>
          <w:szCs w:val="24"/>
        </w:rPr>
        <w:br/>
        <w:t xml:space="preserve">Contaminated tools (and water): yes, tools may become contaminated with the pathogen upon contact with infested soil or by cutting through infested plant material (Fichtner, 2018).</w:t>
      </w:r>
      <w:r>
        <w:rPr>
          <w:color w:val="0200C9"/>
          <w:sz w:val="24"/>
          <w:szCs w:val="24"/>
        </w:rPr>
        <w:br/>
        <w:t xml:space="preserve">Since Agrobacterium tumefaciens is a common soilborne bacterium and present in many fields, there are doubts whether plants for planting can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Crown gall can decrease walnut tree productivity. For every quarter of trunk circumference that was galled, there was a 12% decrease in cumulative nut yield over the first 4 years of production (Epstein et al., 2008), however, many walnut trees live to maturity even with crown gall infection (Fichtner, 208). Impact is also dependent on the rootstock used. Juglans regia seems to be less susceptible to crown gall compared to rootstock ‘Paradox’ (hybrid with J. hindsii). Many reports from California are available on the impact of Agrobacterium tumefaciens in walnut (e.g. Kluepfel et al., 2012). There are no reports on similar observations from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Economic impact depends on environmental conditions and stress factors.</w:t>
      </w:r>
      <w:r>
        <w:rPr>
          <w:color w:val="606060"/>
          <w:sz w:val="24"/>
          <w:szCs w:val="24"/>
        </w:rPr>
        <w:br/>
        <w:t xml:space="preserve">When the plant get older it can adapt to the pathogen.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Hygiene measures to avoid spread with contaminated tools (Epstein et al., 2008).</w:t>
      </w:r>
      <w:r>
        <w:rPr>
          <w:color w:val="F30000"/>
          <w:sz w:val="24"/>
          <w:szCs w:val="24"/>
        </w:rPr>
        <w:br/>
        <w:t xml:space="preserve">Proper storage of bareroot trees before planting: trees in prolonged (17-day), bare-root, unrefrigerated storage before transplanting were associated with higher crown-gall incidence (Epstein et al., 2008).</w:t>
      </w:r>
      <w:r>
        <w:rPr>
          <w:color w:val="F30000"/>
          <w:sz w:val="24"/>
          <w:szCs w:val="24"/>
        </w:rPr>
        <w:br/>
        <w:t xml:space="preserve">Soil fumigation (Epstein et al., 2008), although soil fumigants might no longer be available (depending on legislation).</w:t>
      </w:r>
      <w:r>
        <w:rPr>
          <w:color w:val="F30000"/>
          <w:sz w:val="24"/>
          <w:szCs w:val="24"/>
        </w:rPr>
        <w:br/>
        <w:t xml:space="preserve">Choice of rootstock – rootstock Paradox is susceptible to Agrobacterium tumefaciens; evaluation programs are set up to screen for resistance against Agrobacterium tumefaciens (e.g. Kluepfel et al., 2012). However other rootstocks may be of lower agricultural interest (Grant and McGranahan, 2005) and Fichther (2018) mentioned that there are not many rootstocks resistant to Agrobacterium tumefaciens.</w:t>
      </w:r>
      <w:r>
        <w:rPr>
          <w:color w:val="F30000"/>
          <w:sz w:val="24"/>
          <w:szCs w:val="24"/>
        </w:rPr>
        <w:br/>
        <w:t xml:space="preserve">However, such measures are likely to be of little effect, particularly taking into account that the bacterium is omnipresent, in the soil and on many different hosts, with clear symptoms to totally symptomless.</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53936a3fb741f0b2d" w:history="1">
        <w:r>
          <w:rPr>
            <w:color w:val="0200C9"/>
            <w:sz w:val="24"/>
            <w:szCs w:val="24"/>
          </w:rPr>
          <w:t xml:space="preserve">https://www.cabidigitallibrary.org/doi/10.1079/cabicompendium.3745</w:t>
        </w:r>
      </w:hyperlink>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21886a3fb741f0b6a" w:history="1">
        <w:r>
          <w:rPr>
            <w:color w:val="0200C9"/>
            <w:sz w:val="24"/>
            <w:szCs w:val="24"/>
          </w:rPr>
          <w:t xml:space="preserve">https://ucanr.edu/blogs/blogcore/postdetail.cfm?postnum=28927</w:t>
        </w:r>
      </w:hyperlink>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12636a3fb741f0b8d"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0266a3fb741f0bc6" w:history="1">
        <w:r>
          <w:rPr>
            <w:color w:val="0200C9"/>
            <w:sz w:val="24"/>
            <w:szCs w:val="24"/>
          </w:rPr>
          <w:t xml:space="preserve">https://cekings.ucanr.edu/files/19375.pdf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86312">
    <w:multiLevelType w:val="hybridMultilevel"/>
    <w:lvl w:ilvl="0" w:tplc="87494831">
      <w:start w:val="1"/>
      <w:numFmt w:val="decimal"/>
      <w:lvlText w:val="%1."/>
      <w:lvlJc w:val="left"/>
      <w:pPr>
        <w:ind w:left="720" w:hanging="360"/>
      </w:pPr>
    </w:lvl>
    <w:lvl w:ilvl="1" w:tplc="87494831" w:tentative="1">
      <w:start w:val="1"/>
      <w:numFmt w:val="lowerLetter"/>
      <w:lvlText w:val="%2."/>
      <w:lvlJc w:val="left"/>
      <w:pPr>
        <w:ind w:left="1440" w:hanging="360"/>
      </w:pPr>
    </w:lvl>
    <w:lvl w:ilvl="2" w:tplc="87494831" w:tentative="1">
      <w:start w:val="1"/>
      <w:numFmt w:val="lowerRoman"/>
      <w:lvlText w:val="%3."/>
      <w:lvlJc w:val="right"/>
      <w:pPr>
        <w:ind w:left="2160" w:hanging="180"/>
      </w:pPr>
    </w:lvl>
    <w:lvl w:ilvl="3" w:tplc="87494831" w:tentative="1">
      <w:start w:val="1"/>
      <w:numFmt w:val="decimal"/>
      <w:lvlText w:val="%4."/>
      <w:lvlJc w:val="left"/>
      <w:pPr>
        <w:ind w:left="2880" w:hanging="360"/>
      </w:pPr>
    </w:lvl>
    <w:lvl w:ilvl="4" w:tplc="87494831" w:tentative="1">
      <w:start w:val="1"/>
      <w:numFmt w:val="lowerLetter"/>
      <w:lvlText w:val="%5."/>
      <w:lvlJc w:val="left"/>
      <w:pPr>
        <w:ind w:left="3600" w:hanging="360"/>
      </w:pPr>
    </w:lvl>
    <w:lvl w:ilvl="5" w:tplc="87494831" w:tentative="1">
      <w:start w:val="1"/>
      <w:numFmt w:val="lowerRoman"/>
      <w:lvlText w:val="%6."/>
      <w:lvlJc w:val="right"/>
      <w:pPr>
        <w:ind w:left="4320" w:hanging="180"/>
      </w:pPr>
    </w:lvl>
    <w:lvl w:ilvl="6" w:tplc="87494831" w:tentative="1">
      <w:start w:val="1"/>
      <w:numFmt w:val="decimal"/>
      <w:lvlText w:val="%7."/>
      <w:lvlJc w:val="left"/>
      <w:pPr>
        <w:ind w:left="5040" w:hanging="360"/>
      </w:pPr>
    </w:lvl>
    <w:lvl w:ilvl="7" w:tplc="87494831" w:tentative="1">
      <w:start w:val="1"/>
      <w:numFmt w:val="lowerLetter"/>
      <w:lvlText w:val="%8."/>
      <w:lvlJc w:val="left"/>
      <w:pPr>
        <w:ind w:left="5760" w:hanging="360"/>
      </w:pPr>
    </w:lvl>
    <w:lvl w:ilvl="8" w:tplc="87494831" w:tentative="1">
      <w:start w:val="1"/>
      <w:numFmt w:val="lowerRoman"/>
      <w:lvlText w:val="%9."/>
      <w:lvlJc w:val="right"/>
      <w:pPr>
        <w:ind w:left="6480" w:hanging="180"/>
      </w:pPr>
    </w:lvl>
  </w:abstractNum>
  <w:abstractNum w:abstractNumId="94286311">
    <w:multiLevelType w:val="hybridMultilevel"/>
    <w:lvl w:ilvl="0" w:tplc="61316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86311">
    <w:abstractNumId w:val="94286311"/>
  </w:num>
  <w:num w:numId="94286312">
    <w:abstractNumId w:val="94286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091038" Type="http://schemas.microsoft.com/office/2011/relationships/commentsExtended" Target="commentsExtended.xml"/><Relationship Id="rId60836a3fb741f067c" Type="http://schemas.openxmlformats.org/officeDocument/2006/relationships/hyperlink" Target="https://gd.eppo.int/" TargetMode="External"/><Relationship Id="rId53936a3fb741f0b2d" Type="http://schemas.openxmlformats.org/officeDocument/2006/relationships/hyperlink" Target="https://www.cabidigitallibrary.org/doi/10.1079/cabicompendium.3745" TargetMode="External"/><Relationship Id="rId21886a3fb741f0b6a" Type="http://schemas.openxmlformats.org/officeDocument/2006/relationships/hyperlink" Target="https://ucanr.edu/blogs/blogcore/postdetail.cfm?postnum=28927" TargetMode="External"/><Relationship Id="rId12636a3fb741f0b8d" Type="http://schemas.openxmlformats.org/officeDocument/2006/relationships/hyperlink" Target="http://californiaagriculture.ucanr.org/landingpage.cfm?article=ca.v059n04p249&amp;fulltext=yes" TargetMode="External"/><Relationship Id="rId10266a3fb741f0bc6"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