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star crack agent (APHW00)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star crack agent (Horseshoe wound)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Trees with star crack frequently produce fruit with star-shaped cracks in the skin, and the vigour of the trees is markedly reduced. In the autumn, some terminal leaves may be cupped and chlorotic, and some terminals may die back. Cankers have been reported around some of the buds on 1-year-old wood. Budbreak and bloom may be delayed in the spring. The causal agent or agents of star crack has not been characterized but are graft transmissible and are therefore presumed to be virus-like (Hansen &amp; Parish, 2017).</w:t>
      </w:r>
      <w:r>
        <w:rPr>
          <w:color w:val="F30000"/>
          <w:sz w:val="24"/>
          <w:szCs w:val="24"/>
        </w:rPr>
        <w:br/>
        <w:t xml:space="preserve">Note on taxonomy: Apple horseshoe wound is assumed to be caused by the same agent causing apple star crack (Campbell &amp; Hughes, 1975; Nemeth, 1986a; b), a more commonly used name. Therefore, it is proposed to aggregate both diseases and to name the causal agent apple star crack agent. Some authors indicate that apple rough skin is caused by the same agent which causes apple star crack, others indicate that it concerns to different agents (Nemeth, 1986b).</w:t>
      </w:r>
      <w:r>
        <w:rPr>
          <w:color w:val="F30000"/>
          <w:sz w:val="24"/>
          <w:szCs w:val="24"/>
        </w:rPr>
        <w:br/>
        <w:t xml:space="preserve">To date it is still unknown which virus or – more likely – virus complex is responsible for the symptom of apple star crack. It does not fulfill the requirement of identity and should therefore not be listed as an RNQP.</w:t>
      </w:r>
      <w:r>
        <w:rPr>
          <w:color w:val="F30000"/>
          <w:sz w:val="24"/>
          <w:szCs w:val="24"/>
        </w:rPr>
        <w:br/>
        <w:t xml:space="preserve">[Remark: DE suggested discussing its recommendation for regulation as an RNQP (in particular acceptability of economic impact), whereas NL and LT supported its delisting from EU regulation].</w:t>
      </w:r>
      <w:r>
        <w:rPr>
          <w:color w:val="F30000"/>
          <w:sz w:val="24"/>
          <w:szCs w:val="24"/>
        </w:rPr>
        <w:br/>
        <w:t xml:space="preserve">Remark: Indexing can be performed for this group of virus-like diseases.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According to Nemeth (1987b) apple star crack is reported from Belgium, former Czechoslovakia, Denmark, Finland, Germany, Hungary, Italy, the Netherlands, Poland, Portugal and Sweden.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'star crack' recommended in EPPO Standard PM4-27 Pathogen-tested material of Malus, Pyrus and Cydonia.</w:t>
      </w:r>
      <w:r>
        <w:rPr>
          <w:color w:val="0200C9"/>
          <w:sz w:val="24"/>
          <w:szCs w:val="24"/>
        </w:rPr>
        <w:br/>
        <w:t xml:space="preserve">In responses to the questionnaire, DE questioned the economic impact of 'apple star crack agent'.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star crack agent (apple star crack). CABI compendium. CABI, Wallingford, UK. Available from </w:t>
      </w:r>
      <w:hyperlink r:id="rId39986a3fb77278f62" w:history="1">
        <w:r>
          <w:rPr>
            <w:color w:val="0200C9"/>
            <w:sz w:val="24"/>
            <w:szCs w:val="24"/>
          </w:rPr>
          <w:t xml:space="preserve">https://www.cabidigitallibrary.org/doi/10.1079/cabicompendium.6553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Campbell AI &amp; Hughes LF (1975) Symptoms of star crack virus on the fruit and shoot growth of apple cultivars. Acta Horticulturae (44): 245-250.</w:t>
      </w:r>
    </w:p>
    <w:p>
      <w:pPr>
        <w:numPr>
          <w:ilvl w:val="0"/>
          <w:numId w:val="1"/>
        </w:numPr>
        <w:spacing w:before="0" w:after="0" w:line="240" w:lineRule="auto"/>
        <w:jc w:val="left"/>
        <w:rPr>
          <w:color w:val="0200C9"/>
          <w:sz w:val="24"/>
          <w:szCs w:val="24"/>
        </w:rPr>
      </w:pPr>
      <w:r>
        <w:rPr>
          <w:color w:val="0200C9"/>
          <w:sz w:val="24"/>
          <w:szCs w:val="24"/>
        </w:rPr>
        <w:t xml:space="preserve">Nemeth M (1986a) Apple horseshoe wound. In Virus, Mycoplasma and Rickettsia Diseases. Martinus Nijhoff Publishers, Dordrecht, The Netherlands (ed Nemeth M), pp163-164.</w:t>
      </w:r>
    </w:p>
    <w:p>
      <w:pPr>
        <w:numPr>
          <w:ilvl w:val="0"/>
          <w:numId w:val="1"/>
        </w:numPr>
        <w:spacing w:before="0" w:after="0" w:line="240" w:lineRule="auto"/>
        <w:jc w:val="left"/>
        <w:rPr>
          <w:color w:val="0200C9"/>
          <w:sz w:val="24"/>
          <w:szCs w:val="24"/>
        </w:rPr>
      </w:pPr>
      <w:r>
        <w:rPr>
          <w:color w:val="0200C9"/>
          <w:sz w:val="24"/>
          <w:szCs w:val="24"/>
        </w:rPr>
        <w:t xml:space="preserve">Nemeth M (1986b) Apple star crack. In Virus, Mycoplasma and Rickettsia Diseases. Martinus Nijhoff Publishers, Dordrecht, The Netherlands (ed Nemeth M), pp 187-191.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20163">
    <w:multiLevelType w:val="hybridMultilevel"/>
    <w:lvl w:ilvl="0" w:tplc="24480346">
      <w:start w:val="1"/>
      <w:numFmt w:val="decimal"/>
      <w:lvlText w:val="%1."/>
      <w:lvlJc w:val="left"/>
      <w:pPr>
        <w:ind w:left="720" w:hanging="360"/>
      </w:pPr>
    </w:lvl>
    <w:lvl w:ilvl="1" w:tplc="24480346" w:tentative="1">
      <w:start w:val="1"/>
      <w:numFmt w:val="lowerLetter"/>
      <w:lvlText w:val="%2."/>
      <w:lvlJc w:val="left"/>
      <w:pPr>
        <w:ind w:left="1440" w:hanging="360"/>
      </w:pPr>
    </w:lvl>
    <w:lvl w:ilvl="2" w:tplc="24480346" w:tentative="1">
      <w:start w:val="1"/>
      <w:numFmt w:val="lowerRoman"/>
      <w:lvlText w:val="%3."/>
      <w:lvlJc w:val="right"/>
      <w:pPr>
        <w:ind w:left="2160" w:hanging="180"/>
      </w:pPr>
    </w:lvl>
    <w:lvl w:ilvl="3" w:tplc="24480346" w:tentative="1">
      <w:start w:val="1"/>
      <w:numFmt w:val="decimal"/>
      <w:lvlText w:val="%4."/>
      <w:lvlJc w:val="left"/>
      <w:pPr>
        <w:ind w:left="2880" w:hanging="360"/>
      </w:pPr>
    </w:lvl>
    <w:lvl w:ilvl="4" w:tplc="24480346" w:tentative="1">
      <w:start w:val="1"/>
      <w:numFmt w:val="lowerLetter"/>
      <w:lvlText w:val="%5."/>
      <w:lvlJc w:val="left"/>
      <w:pPr>
        <w:ind w:left="3600" w:hanging="360"/>
      </w:pPr>
    </w:lvl>
    <w:lvl w:ilvl="5" w:tplc="24480346" w:tentative="1">
      <w:start w:val="1"/>
      <w:numFmt w:val="lowerRoman"/>
      <w:lvlText w:val="%6."/>
      <w:lvlJc w:val="right"/>
      <w:pPr>
        <w:ind w:left="4320" w:hanging="180"/>
      </w:pPr>
    </w:lvl>
    <w:lvl w:ilvl="6" w:tplc="24480346" w:tentative="1">
      <w:start w:val="1"/>
      <w:numFmt w:val="decimal"/>
      <w:lvlText w:val="%7."/>
      <w:lvlJc w:val="left"/>
      <w:pPr>
        <w:ind w:left="5040" w:hanging="360"/>
      </w:pPr>
    </w:lvl>
    <w:lvl w:ilvl="7" w:tplc="24480346" w:tentative="1">
      <w:start w:val="1"/>
      <w:numFmt w:val="lowerLetter"/>
      <w:lvlText w:val="%8."/>
      <w:lvlJc w:val="left"/>
      <w:pPr>
        <w:ind w:left="5760" w:hanging="360"/>
      </w:pPr>
    </w:lvl>
    <w:lvl w:ilvl="8" w:tplc="24480346" w:tentative="1">
      <w:start w:val="1"/>
      <w:numFmt w:val="lowerRoman"/>
      <w:lvlText w:val="%9."/>
      <w:lvlJc w:val="right"/>
      <w:pPr>
        <w:ind w:left="6480" w:hanging="180"/>
      </w:pPr>
    </w:lvl>
  </w:abstractNum>
  <w:abstractNum w:abstractNumId="88420162">
    <w:multiLevelType w:val="hybridMultilevel"/>
    <w:lvl w:ilvl="0" w:tplc="79489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20162">
    <w:abstractNumId w:val="88420162"/>
  </w:num>
  <w:num w:numId="88420163">
    <w:abstractNumId w:val="88420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224828" Type="http://schemas.microsoft.com/office/2011/relationships/commentsExtended" Target="commentsExtended.xml"/><Relationship Id="rId39986a3fb77278f62" Type="http://schemas.openxmlformats.org/officeDocument/2006/relationships/hyperlink" Target="https://www.cabidigitallibrary.org/doi/10.1079/cabicompendium.6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