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rubbery wood agent (ARW000)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rubbery wood agent (Rubbery wood)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Apple rubbery wood is a graft-transmissible disease reported from apple, pears and quince (Cropley et al., 1963; Luckwill &amp; Crowdy, 1950). Because of its graft transmissibility, a virological cause of the disease has been assumed, although this is still not proven. Also phytoplasmas have been reported as causal agent (e.g. Bertaccini et al., 1998), but other researchers failed to detect phytoplasmas and bacteria (e.g. Menzel, 2003). Recently, Jakovljevic et al (2016) using Next Generation Sequencing based on total RNA failed to disclose a potential pathogen that could be associated with the disease. Therefore, apple rubbery wood agent still seems the most appropriate name. Field indexing using woody indexing (Jelkmann, 2004) would be needed for detection and identification.</w:t>
      </w:r>
      <w:r>
        <w:rPr>
          <w:color w:val="F30000"/>
          <w:sz w:val="24"/>
          <w:szCs w:val="24"/>
        </w:rPr>
        <w:br/>
        <w:br/>
        <w:t xml:space="preserve">Rott et al. (2018) described two new viruses, apple rubbery wood virus-1 and -2 (ARWV-1- Rubodvirus mali, and ARWV-2- Rubodvirus prosserense) which could be linked to material showing apple rubbery wood and/or apple flat limb symptoms (including material from Germany, Canada, USA and Japan). Since then, the viruses have been found in apple and pear: in China in pear (ARWV2, Wang et al., 2022); in Korea in apple (ARWV1, Lim et al., 2019); in Hungary in apple (ARWV2, Várallyay et al., 2022); in France in pear (ARWV2, Svanella-Dumas et al., 2019); in Italy in apple (ARWV1 and/or ARWV2) and pear (ARWV2 and ARWV1; Minutolo et al., 2023); in Belgium in apple and pear (ARWV1) (Fontdevila Pareta et al., 2022; 2023), in Switzerland in pear (ARWV1/2, Fontdevila Pareta et al., 2023). These publications focused on detection – not on symptom development - and in many samples also other viruses were detected: Tzanetakis et al. (2018) indicates that ARWV1&amp;2 are often associated with other common viruses, making Koch's postulate challenging to demonstrate.</w:t>
      </w:r>
      <w:r>
        <w:rPr>
          <w:color w:val="F30000"/>
          <w:sz w:val="24"/>
          <w:szCs w:val="24"/>
        </w:rPr>
        <w:br/>
        <w:t xml:space="preserve">Due to the availability of sequence information, test development is possible and links to symptom development can be investigated in more detail. Symptom development is dependent on cultivar of the scion and the rootstock.</w:t>
      </w:r>
      <w:r>
        <w:rPr>
          <w:color w:val="F30000"/>
          <w:sz w:val="24"/>
          <w:szCs w:val="24"/>
        </w:rPr>
        <w:br/>
        <w:t xml:space="preserve">See also Kuhn et al., 2023.</w:t>
      </w:r>
      <w:r>
        <w:rPr>
          <w:color w:val="F30000"/>
          <w:sz w:val="24"/>
          <w:szCs w:val="24"/>
        </w:rPr>
        <w:br/>
        <w:br/>
        <w:t xml:space="preserve">[Remark: In the responses to the questionnaire, DE, FR, LT, NL and SI identified this entry as being of concern. DE supported the recommendation for regulation of the agent as an RNQP considering the assumption that further viruses may be associated with the disease. DE also indicated that primer sets specific for the detection of apple rubbery wood virus-1 and apple rubbery wood virus-2 (Rott et al. 2018) (and for their individual RNA segments) were currently developed by JKI and are available soon. LT supported its delisting from the EU regulation. FR, NL and SI supported the individual listing of apple rubbery wood virus 1 and 2.]</w:t>
      </w:r>
      <w:r>
        <w:rPr>
          <w:color w:val="F30000"/>
          <w:sz w:val="24"/>
          <w:szCs w:val="24"/>
        </w:rPr>
        <w:br/>
        <w:br/>
        <w:t xml:space="preserve">Although two viruses are associated with the symptoms, the Fruit SEWG considered that the agent had no clear identity yet and that more viruses might be involved.</w:t>
      </w:r>
      <w:r>
        <w:rPr>
          <w:color w:val="F30000"/>
          <w:sz w:val="24"/>
          <w:szCs w:val="24"/>
        </w:rPr>
        <w:br/>
        <w:t xml:space="preserve">Note: Canada lists Apple rubbery wood (ARW) as ARWV-1 and ARWV-2 on its list of regulated pests (</w:t>
      </w:r>
      <w:hyperlink r:id="rId12706ab689102a53e" w:history="1">
        <w:r>
          <w:rPr>
            <w:color w:val="F30000"/>
            <w:sz w:val="24"/>
            <w:szCs w:val="24"/>
          </w:rPr>
          <w:t xml:space="preserve">https://inspection.canada.ca/en/plant-health/invasive-species/regulated-pests#a</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Denmark (1975); Germany (1993); Italy (1993); Netherlands (1993); Poland (1975); Sweden (1992)</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5736ab689102a634" w:history="1">
        <w:r>
          <w:rPr>
            <w:color w:val="606060"/>
            <w:sz w:val="24"/>
            <w:szCs w:val="24"/>
          </w:rPr>
          <w:t xml:space="preserve">https://gd.eppo.int/</w:t>
        </w:r>
      </w:hyperlink>
      <w:r>
        <w:rPr>
          <w:color w:val="606060"/>
          <w:sz w:val="24"/>
          <w:szCs w:val="24"/>
        </w:rPr>
        <w:t xml:space="preserve">). Rubbery wood seems to be present in several additional countries in the EU. Mostly reported in Malus, its presence in Pyrus is more restricted. Symptoms in Cydonia are reported in older literature, but the latter is rare and presumably mixed infections were described in these occasions.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'rubbery wood' recommended in EPPO Standard PM4-27 Pathogen-tested material of Malus, Pyrus and Cydonia. Testing for 'rubbery wood' recommended in EPPO Standard PM4-27 Pathogen-tested material of Malus, Pyrus and Cydonia. However, the pest/host combination was further assessed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pathway described.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Very little impact is described, mainly in grey literature. No impact reported in modern cultivars. Ongoing research and new information is mainly molecular (some studies mentioned by DE on symptoms in indicator plants, see below).</w:t>
      </w:r>
      <w:r>
        <w:rPr>
          <w:color w:val="F30000"/>
          <w:sz w:val="24"/>
          <w:szCs w:val="24"/>
        </w:rPr>
        <w:br/>
        <w:br/>
        <w:t xml:space="preserve">Remarks:</w:t>
      </w:r>
      <w:r>
        <w:rPr>
          <w:color w:val="F30000"/>
          <w:sz w:val="24"/>
          <w:szCs w:val="24"/>
        </w:rPr>
        <w:br/>
        <w:t xml:space="preserve">- A new paper (Seinsche et al., just before submission) includes data on novel detection primers for ARWV 1 and ARWV 2 genomic segments and their application to over 1,0000 apple samples from German commercial orchards, experimental plots, and variety collections in order to investigate distribution of these viruses across Germany. This screening provided a comprehensive overview of the infection status of ARWV 1 and 2 in Germany.</w:t>
      </w:r>
      <w:r>
        <w:rPr>
          <w:color w:val="F30000"/>
          <w:sz w:val="24"/>
          <w:szCs w:val="24"/>
        </w:rPr>
        <w:br/>
        <w:t xml:space="preserve">- Studies on symptom development with ARWV 1 and 2 are ongoing: a well-defined sample set for ARWD symptom expression studies comprise in total more than 20 isolates (including isolates originating from pear and apple) with ARWV 1 single infection, ARWV 2 single infection and with ARWV 1 and 2 mixed infections, selected isolates are grafted onto ‘Lord Lambourne’ indicator plants, symptom development will be monitored over the coming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information on pathogenicity and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 Lack of information on pathogenicity and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Vibio M, Franova-Honetslegrova J &amp; Janeckova M (1998) Molecular detection of phytoplasmas in apple with rubbery wood symptoms. Acta Horticulturae 472, 693-700.</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Fontdevila Pareta, N, Lateur M, Steyer S. Blouin AG &amp; Massart S (2022) First reports of Apple luteovirus 1, Apple rubodvirus 1 and Apple hammerhead viroid infecting apples in Belgium. New Disease Reports 45, e12076. </w:t>
      </w:r>
      <w:hyperlink r:id="rId49606ab689102ab43" w:history="1">
        <w:r>
          <w:rPr>
            <w:color w:val="0200C9"/>
            <w:sz w:val="24"/>
            <w:szCs w:val="24"/>
          </w:rPr>
          <w:t xml:space="preserve">https://doi.org/10.1002/ndr2.12076</w:t>
        </w:r>
      </w:hyperlink>
    </w:p>
    <w:p>
      <w:pPr>
        <w:numPr>
          <w:ilvl w:val="0"/>
          <w:numId w:val="1"/>
        </w:numPr>
        <w:spacing w:before="0" w:after="0" w:line="240" w:lineRule="auto"/>
        <w:jc w:val="left"/>
        <w:rPr>
          <w:color w:val="0200C9"/>
          <w:sz w:val="24"/>
          <w:szCs w:val="24"/>
        </w:rPr>
      </w:pPr>
      <w:r>
        <w:rPr>
          <w:color w:val="0200C9"/>
          <w:sz w:val="24"/>
          <w:szCs w:val="24"/>
        </w:rPr>
        <w:t xml:space="preserve">Fontdevila Pareta N, Gailly C, Blouin AG, Buchmann B, Buenter M, Candresse T, Dubuis N, Kutnjak D, Lateur M, Pecman A, Steyer A &amp; Massart S (2024) Virome scanning of pear germplasm collections identifies a new Velarivirus and extends the geographical spread of three other pear viruses. Phytobiomes Journal (ja).</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Kuhn JH, Abe J, Adkins S, Alkhovsky SV, Avšič-Županc T, Ayllón MA et al. (2023) Annual (2023) taxonomic update of RNA-directed RNA polymerase-encoding negative-sense RNA viruses (realm Riboviria: kingdom Orthornavirae: phylum Negarnaviricota). In: The Journal of general virology 104 (8). DOI: 10.1099/jgv.0.001864.</w:t>
      </w:r>
    </w:p>
    <w:p>
      <w:pPr>
        <w:numPr>
          <w:ilvl w:val="0"/>
          <w:numId w:val="1"/>
        </w:numPr>
        <w:spacing w:before="0" w:after="0" w:line="240" w:lineRule="auto"/>
        <w:jc w:val="left"/>
        <w:rPr>
          <w:color w:val="0200C9"/>
          <w:sz w:val="24"/>
          <w:szCs w:val="24"/>
        </w:rPr>
      </w:pPr>
      <w:r>
        <w:rPr>
          <w:color w:val="0200C9"/>
          <w:sz w:val="24"/>
          <w:szCs w:val="24"/>
        </w:rPr>
        <w:t xml:space="preserve">Lim S, Baek D, Moon JS, Cho IS, Choi GS, Do YS, Lee DH &amp; Lee SH (2019). First report of Apple luteovirus 1 and Apple rubbery wood virus 1 on apple tree rootstocks in Korea. Plant Disease 103(3), 591</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Minutolo M, Cinque M, Di Serio F, Navarro B &amp; Alioto D (2023) Occurrence of apple rubbery wood virus 1 and apple rubbery wood virus 2 in pear and apple in Campania (southern Italy) and development of degenerate primers for the rapid detection of rubodviruses. Journal of Plant Pathology 105(2), 567-572.</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Seinsche C, Berwarth C, Brodbeck M, Zikeli K, Vondran A, Kleemann L, Thomas S &amp; Jelkmann W (just before submission) Development of Novel Detection Primers and Screening for Apple Rubbery Wood Virus 1 and 2 in Germany.</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78086ab689102ac4e"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 &amp; Škorić D (2024) Streamlining Global Germplasm Exchange: Integrating Scientific Rigor and Common Sense to Exclude Phantom Agents from Regulation. Plant disease, PDIS-04</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69846ab689102aca9" w:history="1">
        <w:r>
          <w:rPr>
            <w:color w:val="0200C9"/>
            <w:sz w:val="24"/>
            <w:szCs w:val="24"/>
          </w:rPr>
          <w:t xml:space="preserve">https://doi.org/10.1094/PDIS-07-19-1451-PDN</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85518">
    <w:multiLevelType w:val="hybridMultilevel"/>
    <w:lvl w:ilvl="0" w:tplc="69777003">
      <w:start w:val="1"/>
      <w:numFmt w:val="decimal"/>
      <w:lvlText w:val="%1."/>
      <w:lvlJc w:val="left"/>
      <w:pPr>
        <w:ind w:left="720" w:hanging="360"/>
      </w:pPr>
    </w:lvl>
    <w:lvl w:ilvl="1" w:tplc="69777003" w:tentative="1">
      <w:start w:val="1"/>
      <w:numFmt w:val="lowerLetter"/>
      <w:lvlText w:val="%2."/>
      <w:lvlJc w:val="left"/>
      <w:pPr>
        <w:ind w:left="1440" w:hanging="360"/>
      </w:pPr>
    </w:lvl>
    <w:lvl w:ilvl="2" w:tplc="69777003" w:tentative="1">
      <w:start w:val="1"/>
      <w:numFmt w:val="lowerRoman"/>
      <w:lvlText w:val="%3."/>
      <w:lvlJc w:val="right"/>
      <w:pPr>
        <w:ind w:left="2160" w:hanging="180"/>
      </w:pPr>
    </w:lvl>
    <w:lvl w:ilvl="3" w:tplc="69777003" w:tentative="1">
      <w:start w:val="1"/>
      <w:numFmt w:val="decimal"/>
      <w:lvlText w:val="%4."/>
      <w:lvlJc w:val="left"/>
      <w:pPr>
        <w:ind w:left="2880" w:hanging="360"/>
      </w:pPr>
    </w:lvl>
    <w:lvl w:ilvl="4" w:tplc="69777003" w:tentative="1">
      <w:start w:val="1"/>
      <w:numFmt w:val="lowerLetter"/>
      <w:lvlText w:val="%5."/>
      <w:lvlJc w:val="left"/>
      <w:pPr>
        <w:ind w:left="3600" w:hanging="360"/>
      </w:pPr>
    </w:lvl>
    <w:lvl w:ilvl="5" w:tplc="69777003" w:tentative="1">
      <w:start w:val="1"/>
      <w:numFmt w:val="lowerRoman"/>
      <w:lvlText w:val="%6."/>
      <w:lvlJc w:val="right"/>
      <w:pPr>
        <w:ind w:left="4320" w:hanging="180"/>
      </w:pPr>
    </w:lvl>
    <w:lvl w:ilvl="6" w:tplc="69777003" w:tentative="1">
      <w:start w:val="1"/>
      <w:numFmt w:val="decimal"/>
      <w:lvlText w:val="%7."/>
      <w:lvlJc w:val="left"/>
      <w:pPr>
        <w:ind w:left="5040" w:hanging="360"/>
      </w:pPr>
    </w:lvl>
    <w:lvl w:ilvl="7" w:tplc="69777003" w:tentative="1">
      <w:start w:val="1"/>
      <w:numFmt w:val="lowerLetter"/>
      <w:lvlText w:val="%8."/>
      <w:lvlJc w:val="left"/>
      <w:pPr>
        <w:ind w:left="5760" w:hanging="360"/>
      </w:pPr>
    </w:lvl>
    <w:lvl w:ilvl="8" w:tplc="69777003" w:tentative="1">
      <w:start w:val="1"/>
      <w:numFmt w:val="lowerRoman"/>
      <w:lvlText w:val="%9."/>
      <w:lvlJc w:val="right"/>
      <w:pPr>
        <w:ind w:left="6480" w:hanging="180"/>
      </w:pPr>
    </w:lvl>
  </w:abstractNum>
  <w:abstractNum w:abstractNumId="21885517">
    <w:multiLevelType w:val="hybridMultilevel"/>
    <w:lvl w:ilvl="0" w:tplc="51250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85517">
    <w:abstractNumId w:val="21885517"/>
  </w:num>
  <w:num w:numId="21885518">
    <w:abstractNumId w:val="21885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8095523" Type="http://schemas.microsoft.com/office/2011/relationships/commentsExtended" Target="commentsExtended.xml"/><Relationship Id="rId12706ab689102a53e" Type="http://schemas.openxmlformats.org/officeDocument/2006/relationships/hyperlink" Target="https://inspection.canada.ca/en/plant-health/invasive-species/regulated-pests#a" TargetMode="External"/><Relationship Id="rId55736ab689102a634" Type="http://schemas.openxmlformats.org/officeDocument/2006/relationships/hyperlink" Target="https://gd.eppo.int/" TargetMode="External"/><Relationship Id="rId49606ab689102ab43" Type="http://schemas.openxmlformats.org/officeDocument/2006/relationships/hyperlink" Target="https://doi.org/10.1002/ndr2.12076" TargetMode="External"/><Relationship Id="rId78086ab689102ac4e" Type="http://schemas.openxmlformats.org/officeDocument/2006/relationships/hyperlink" Target="https://doi.org/10.1094/PDIS-01-19-0028-PDN" TargetMode="External"/><Relationship Id="rId69846ab689102aca9" Type="http://schemas.openxmlformats.org/officeDocument/2006/relationships/hyperlink" Target="https://doi.org/10.1094/PDIS-07-19-1451-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