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67756a3fbb682ce0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 from the Spanish expert</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has been reported as a pathogen for Fragaria in several countries (e.g. United States, Canada, Costa Rica, Israel, Spain) (Anonymous, 1999; Montes et al., 2006; Qing, 2008; Jackson-Ziems, 2016; MAPA, 2019; Talavera et al., 2019; Sandoval-Ruíz et al., 2023).</w:t>
      </w:r>
      <w:r>
        <w:rPr>
          <w:color w:val="0200C9"/>
          <w:sz w:val="24"/>
          <w:szCs w:val="24"/>
        </w:rPr>
        <w:br/>
        <w:br/>
        <w:t xml:space="preserve">In Spain, this species is among the main plant pathogenic nematodes in strawberry crops (López-Aranda, 2008; MAPA, 2019; Talavera et al., 2019; Talavera, 2021; De los Santos et al., 2022). Talavera et al. (2019) found it in 20% of the commercial strawberry plantations of Huelva with an abundance range between 3 and 94 nematodes per 100 g of soil.</w:t>
      </w:r>
      <w:r>
        <w:rPr>
          <w:color w:val="0200C9"/>
          <w:sz w:val="24"/>
          <w:szCs w:val="24"/>
        </w:rPr>
        <w:br/>
        <w:br/>
        <w:t xml:space="preserve">The pathogenicity of P. penetrans on strawberry plants has been demonstrated under both controlled and field conditions (see references in Bélair et al., 2018). Affected plants show a marked reduction of the root system and several associated non-specific aerial symptoms (dwarfism, chlorosis, wilting, lack of vigour, smaller fruits), sometimes leading to plant death (Montes et al., 2006; MAPA, 2019).</w:t>
      </w:r>
      <w:r>
        <w:rPr>
          <w:color w:val="0200C9"/>
          <w:sz w:val="24"/>
          <w:szCs w:val="24"/>
        </w:rPr>
        <w:br/>
        <w:br/>
        <w:t xml:space="preserve">The wounds inflicted in the root system also favors the entry of other pathogens, especially fungi (e.g. Macrophomina phaseolina, Fusarium spp., Verticillim dahliae), causing complex diseases in strawberries (McKinley y Talboys, 1979, MAPA, 2019; Talavera et al., 2021). In fact, P. penetrans is one of the main components of the black root rot (BRR) complex (together with members of the genera Fusarium, Rhizoctonia, Pythium, Cylindrocarpon and Pestalotia) (Montes et al., 2006; López-Aranda, 2008; MAPA, 2019), an important strawberry pathology that, according to some experts, would have an even greater economic impact than crown rot caused by Phytophthora cactorum (López-Aranda,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Its economic impact on Fragaria, both direct and indirect (in association with other pathogens), is well documented.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inspection and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AND</w:t>
      </w:r>
      <w:r>
        <w:rPr>
          <w:color w:val="0200C9"/>
          <w:sz w:val="24"/>
          <w:szCs w:val="24"/>
        </w:rP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98716a3fbb682d30f"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Bélair G, Coulombe J, Dauphinais N (2018) Management of Pratylenchus penetrans and Verticilllium symptoms in strawberry. Phytoprotection, 98(1), 1–3. </w:t>
      </w:r>
      <w:hyperlink r:id="rId85656a3fbb682d378" w:history="1">
        <w:r>
          <w:rPr>
            <w:color w:val="0200C9"/>
            <w:sz w:val="24"/>
            <w:szCs w:val="24"/>
          </w:rPr>
          <w:t xml:space="preserve">https://doi.org/10.7202/1046783ar</w:t>
        </w:r>
      </w:hyperlink>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De Los Santos B, Talavera M, Media JJ, Molina JM (2022) Plagas y enfermedades en frutos rojos. In “Cultivo, postcosecha, procesado y comercio de berris”. SPE3 s.l., Valencia (España).</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13876a3fbb682d3de"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Jackson-Ziems TA (2016) Root-Lesion Nematodes. Papers in Plant Pathology 523. </w:t>
      </w:r>
      <w:hyperlink r:id="rId59836a3fbb682d402" w:history="1">
        <w:r>
          <w:rPr>
            <w:color w:val="0200C9"/>
            <w:sz w:val="24"/>
            <w:szCs w:val="24"/>
          </w:rPr>
          <w:t xml:space="preserve">http://digitalcommons.unl.edu/plantpathpapers/523</w:t>
        </w:r>
      </w:hyperlink>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López-Aranda JM (2008) El cultivo de la fresa en Huelva. In “La fresa de Huelva”. Junta de Andalucía. Consejería de Agricultura y Pesca. Servicio de Publicaciones y Divulgación.</w:t>
      </w:r>
    </w:p>
    <w:p>
      <w:pPr>
        <w:numPr>
          <w:ilvl w:val="0"/>
          <w:numId w:val="1"/>
        </w:numPr>
        <w:spacing w:before="0" w:after="0" w:line="240" w:lineRule="auto"/>
        <w:jc w:val="left"/>
        <w:rPr>
          <w:color w:val="0200C9"/>
          <w:sz w:val="24"/>
          <w:szCs w:val="24"/>
        </w:rPr>
      </w:pPr>
      <w:r>
        <w:rPr>
          <w:color w:val="0200C9"/>
          <w:sz w:val="24"/>
          <w:szCs w:val="24"/>
        </w:rPr>
        <w:t xml:space="preserve">MAPA (2019) Guía de Gestión Integrada de Plagas: fresa y fresón. Ministerio de Agricultura, Pesca y Alimentación. </w:t>
      </w:r>
      <w:hyperlink r:id="rId80776a3fbb682d44e" w:history="1">
        <w:r>
          <w:rPr>
            <w:color w:val="0200C9"/>
            <w:sz w:val="24"/>
            <w:szCs w:val="24"/>
          </w:rPr>
          <w:t xml:space="preserve">https://www.mapa.gob.es/es/agricultura/temas/sanidad-vegetal/productos-fitosanitarios/guias-gestion-plagas/horticolas/default.aspx</w:t>
        </w:r>
      </w:hyperlink>
    </w:p>
    <w:p>
      <w:pPr>
        <w:numPr>
          <w:ilvl w:val="0"/>
          <w:numId w:val="1"/>
        </w:numPr>
        <w:spacing w:before="0" w:after="0" w:line="240" w:lineRule="auto"/>
        <w:jc w:val="left"/>
        <w:rPr>
          <w:color w:val="0200C9"/>
          <w:sz w:val="24"/>
          <w:szCs w:val="24"/>
        </w:rPr>
      </w:pPr>
      <w:r>
        <w:rPr>
          <w:color w:val="0200C9"/>
          <w:sz w:val="24"/>
          <w:szCs w:val="24"/>
        </w:rPr>
        <w:t xml:space="preserve">McKinley RT, Talboys PW (1979) Effects of Pratylenchus penetrans on development of strawberry wilt caused by Verticillium dahliae. Ann. Appl. Biol., 92: 347-357.</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Montes F, Paéz JI, Guillén V, Miguel J (2006) Nematodos lesionadores de fresa: Pratylenchus penetrans. In “Fichas de Diagnóstico en Laboratorio de Organismos Nocivos de los Vegetales”. </w:t>
      </w:r>
      <w:hyperlink r:id="rId20376a3fbb682d49b" w:history="1">
        <w:r>
          <w:rPr>
            <w:color w:val="0200C9"/>
            <w:sz w:val="24"/>
            <w:szCs w:val="24"/>
          </w:rPr>
          <w:t xml:space="preserve">https://www.mapa.gob.es/app/observatorio-de-tecnologias-probadas/diagnostico/ficha.asp?fichaid=356</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Quing Y (2008). Species of Pratylenchus (Nematoda: Pratylenchidae) in Canada: description, distribution, and identification. Canadian Journal of Plant Pathology 30 (3): 477-485. </w:t>
      </w:r>
      <w:hyperlink r:id="rId46036a3fbb682d4d2" w:history="1">
        <w:r>
          <w:rPr>
            <w:color w:val="0200C9"/>
            <w:sz w:val="24"/>
            <w:szCs w:val="24"/>
          </w:rPr>
          <w:t xml:space="preserve">https://doi.org/10.1080/07060660809507545</w:t>
        </w:r>
      </w:hyperlink>
    </w:p>
    <w:p>
      <w:pPr>
        <w:numPr>
          <w:ilvl w:val="0"/>
          <w:numId w:val="1"/>
        </w:numPr>
        <w:spacing w:before="0" w:after="0" w:line="240" w:lineRule="auto"/>
        <w:jc w:val="left"/>
        <w:rPr>
          <w:color w:val="0200C9"/>
          <w:sz w:val="24"/>
          <w:szCs w:val="24"/>
        </w:rPr>
      </w:pPr>
      <w:r>
        <w:rPr>
          <w:color w:val="0200C9"/>
          <w:sz w:val="24"/>
          <w:szCs w:val="24"/>
        </w:rPr>
        <w:t xml:space="preserve">Sandoval-Ruiz R, Gómez-Alpízar L, Humphreys-Pereira DA, Flores-Chaves L (2023) Molecular identification of root-lesion nematodes, Pratylenchus spp. in agricultural crops from Costa Rica. Agronomía Mesoamericana 34 (1): 49445. doi:10.15517/am.v34i1.49445</w:t>
      </w:r>
    </w:p>
    <w:p>
      <w:pPr>
        <w:numPr>
          <w:ilvl w:val="0"/>
          <w:numId w:val="1"/>
        </w:numPr>
        <w:spacing w:before="0" w:after="0" w:line="240" w:lineRule="auto"/>
        <w:jc w:val="left"/>
        <w:rPr>
          <w:color w:val="0200C9"/>
          <w:sz w:val="24"/>
          <w:szCs w:val="24"/>
        </w:rPr>
      </w:pPr>
      <w:r>
        <w:rPr>
          <w:color w:val="0200C9"/>
          <w:sz w:val="24"/>
          <w:szCs w:val="24"/>
        </w:rPr>
        <w:t xml:space="preserve">Schmitt DP, Sipes BS (2000) Plant-parasitic nematodes and their management. In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Verdejo-Lucas S. (2019). Nematode management in the strawberry fields of southern Spain. Agronomy 9, 252: doi:10.3390/agronomy9050252</w:t>
      </w:r>
    </w:p>
    <w:p>
      <w:pPr>
        <w:numPr>
          <w:ilvl w:val="0"/>
          <w:numId w:val="1"/>
        </w:numPr>
        <w:spacing w:before="0" w:after="0" w:line="240" w:lineRule="auto"/>
        <w:jc w:val="left"/>
        <w:rPr>
          <w:color w:val="0200C9"/>
          <w:sz w:val="24"/>
          <w:szCs w:val="24"/>
        </w:rPr>
      </w:pPr>
      <w:r>
        <w:rPr>
          <w:color w:val="0200C9"/>
          <w:sz w:val="24"/>
          <w:szCs w:val="24"/>
        </w:rPr>
        <w:t xml:space="preserve">Talavera MF (2021) Enfermedades causadas por nematodos en los frutos rojos de Huelva: etiología y control. Phytoma 331, 24-27.</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56796a3fbb682d545" w:history="1">
        <w:r>
          <w:rPr>
            <w:color w:val="0200C9"/>
            <w:sz w:val="24"/>
            <w:szCs w:val="24"/>
          </w:rPr>
          <w:t xml:space="preserve">https://doi.org/10.21203/rs.3.rs-3338686/v1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95680">
    <w:multiLevelType w:val="hybridMultilevel"/>
    <w:lvl w:ilvl="0" w:tplc="76899844">
      <w:start w:val="1"/>
      <w:numFmt w:val="decimal"/>
      <w:lvlText w:val="%1."/>
      <w:lvlJc w:val="left"/>
      <w:pPr>
        <w:ind w:left="720" w:hanging="360"/>
      </w:pPr>
    </w:lvl>
    <w:lvl w:ilvl="1" w:tplc="76899844" w:tentative="1">
      <w:start w:val="1"/>
      <w:numFmt w:val="lowerLetter"/>
      <w:lvlText w:val="%2."/>
      <w:lvlJc w:val="left"/>
      <w:pPr>
        <w:ind w:left="1440" w:hanging="360"/>
      </w:pPr>
    </w:lvl>
    <w:lvl w:ilvl="2" w:tplc="76899844" w:tentative="1">
      <w:start w:val="1"/>
      <w:numFmt w:val="lowerRoman"/>
      <w:lvlText w:val="%3."/>
      <w:lvlJc w:val="right"/>
      <w:pPr>
        <w:ind w:left="2160" w:hanging="180"/>
      </w:pPr>
    </w:lvl>
    <w:lvl w:ilvl="3" w:tplc="76899844" w:tentative="1">
      <w:start w:val="1"/>
      <w:numFmt w:val="decimal"/>
      <w:lvlText w:val="%4."/>
      <w:lvlJc w:val="left"/>
      <w:pPr>
        <w:ind w:left="2880" w:hanging="360"/>
      </w:pPr>
    </w:lvl>
    <w:lvl w:ilvl="4" w:tplc="76899844" w:tentative="1">
      <w:start w:val="1"/>
      <w:numFmt w:val="lowerLetter"/>
      <w:lvlText w:val="%5."/>
      <w:lvlJc w:val="left"/>
      <w:pPr>
        <w:ind w:left="3600" w:hanging="360"/>
      </w:pPr>
    </w:lvl>
    <w:lvl w:ilvl="5" w:tplc="76899844" w:tentative="1">
      <w:start w:val="1"/>
      <w:numFmt w:val="lowerRoman"/>
      <w:lvlText w:val="%6."/>
      <w:lvlJc w:val="right"/>
      <w:pPr>
        <w:ind w:left="4320" w:hanging="180"/>
      </w:pPr>
    </w:lvl>
    <w:lvl w:ilvl="6" w:tplc="76899844" w:tentative="1">
      <w:start w:val="1"/>
      <w:numFmt w:val="decimal"/>
      <w:lvlText w:val="%7."/>
      <w:lvlJc w:val="left"/>
      <w:pPr>
        <w:ind w:left="5040" w:hanging="360"/>
      </w:pPr>
    </w:lvl>
    <w:lvl w:ilvl="7" w:tplc="76899844" w:tentative="1">
      <w:start w:val="1"/>
      <w:numFmt w:val="lowerLetter"/>
      <w:lvlText w:val="%8."/>
      <w:lvlJc w:val="left"/>
      <w:pPr>
        <w:ind w:left="5760" w:hanging="360"/>
      </w:pPr>
    </w:lvl>
    <w:lvl w:ilvl="8" w:tplc="76899844" w:tentative="1">
      <w:start w:val="1"/>
      <w:numFmt w:val="lowerRoman"/>
      <w:lvlText w:val="%9."/>
      <w:lvlJc w:val="right"/>
      <w:pPr>
        <w:ind w:left="6480" w:hanging="180"/>
      </w:pPr>
    </w:lvl>
  </w:abstractNum>
  <w:abstractNum w:abstractNumId="51895679">
    <w:multiLevelType w:val="hybridMultilevel"/>
    <w:lvl w:ilvl="0" w:tplc="437562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95679">
    <w:abstractNumId w:val="51895679"/>
  </w:num>
  <w:num w:numId="51895680">
    <w:abstractNumId w:val="518956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327792" Type="http://schemas.microsoft.com/office/2011/relationships/commentsExtended" Target="commentsExtended.xml"/><Relationship Id="rId67756a3fbb682ce00" Type="http://schemas.openxmlformats.org/officeDocument/2006/relationships/hyperlink" Target="https://gd.eppo.int/" TargetMode="External"/><Relationship Id="rId98716a3fbb682d30f" Type="http://schemas.openxmlformats.org/officeDocument/2006/relationships/hyperlink" Target="https://www.aaltjesschema.nl/Home.aspx" TargetMode="External"/><Relationship Id="rId85656a3fbb682d378" Type="http://schemas.openxmlformats.org/officeDocument/2006/relationships/hyperlink" Target="https://doi.org/10.7202/1046783ar" TargetMode="External"/><Relationship Id="rId13876a3fbb682d3de" Type="http://schemas.openxmlformats.org/officeDocument/2006/relationships/hyperlink" Target="https://doi.org/10.1163/1568541044038632" TargetMode="External"/><Relationship Id="rId59836a3fbb682d402" Type="http://schemas.openxmlformats.org/officeDocument/2006/relationships/hyperlink" Target="http://digitalcommons.unl.edu/plantpathpapers/523" TargetMode="External"/><Relationship Id="rId80776a3fbb682d44e" Type="http://schemas.openxmlformats.org/officeDocument/2006/relationships/hyperlink" Target="https://www.mapa.gob.es/es/agricultura/temas/sanidad-vegetal/productos-fitosanitarios/guias-gestion-plagas/horticolas/default.aspx" TargetMode="External"/><Relationship Id="rId20376a3fbb682d49b" Type="http://schemas.openxmlformats.org/officeDocument/2006/relationships/hyperlink" Target="https://www.mapa.gob.es/app/observatorio-de-tecnologias-probadas/diagnostico/ficha.asp?fichaid=356" TargetMode="External"/><Relationship Id="rId46036a3fbb682d4d2" Type="http://schemas.openxmlformats.org/officeDocument/2006/relationships/hyperlink" Target="https://doi.org/10.1080/07060660809507545" TargetMode="External"/><Relationship Id="rId56796a3fbb682d545"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