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Armillaria mellea (ARMIME)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widespread in the EPPO region in particular in forests and in the environment where no phytosanitary measures are taken. GBIF includes reports from almost every EPPO country, but no reports from some areas of some Eastern Europe countries (</w:t>
      </w:r>
      <w:hyperlink r:id="rId27616ab1d3d362e0c" w:history="1">
        <w:r>
          <w:rPr>
            <w:color w:val="0200C9"/>
            <w:sz w:val="24"/>
            <w:szCs w:val="24"/>
          </w:rPr>
          <w:t xml:space="preserve">https://www.gbif.org/fr/species/2536891</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Armillaria mellea recommended in EPPO Standard PM 4-18 Pathogen-tested material of Vaccinium. However, in responses to the questionnaire, NL and SI did not support regulationsince plants for planting was not the 'main' pathway. Evaluation continues on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also known as honey fungus or oak root fungus, has a wide host range (CABI 2021; Raabe, 1962). The pathogen can infect Vaccinium corymbosum (Caruso, 2017; Prodorutti et al., 2009).</w:t>
      </w:r>
      <w:r>
        <w:rPr>
          <w:color w:val="F30000"/>
          <w:sz w:val="24"/>
          <w:szCs w:val="24"/>
        </w:rPr>
        <w:br/>
        <w:t xml:space="preserve">The pathogen occurs in landscapes and urban soils as well as a natural pathogen in forests and on lands converted to farming (Downer &amp; Faber, 2019). The presence of infected roots (of various plant species) is an important and likely source of inoculum for highbush blueberry (Prodorutti et al., 2017).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 In particular, Armillaria spp. have been found on coniferous bark used as mulch in highbush blueberry plantings (Prodorutti et al., 2007).</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Armillaria spp. could be isolated from infected bark which was used to mulch plants (Palmieri et al., 2006).</w:t>
      </w:r>
      <w:r>
        <w:rPr>
          <w:color w:val="F30000"/>
          <w:sz w:val="24"/>
          <w:szCs w:val="24"/>
        </w:rPr>
        <w:br/>
        <w:t xml:space="preserve">Although A. mellea can spread by infected propagation material, the major issue is planting orchards on land previously used for forestry (A. mellea is a common disease in forests).</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 When Vaccinium fruits are produced indoor, sterilized soil/new substrate is used and plants for planting is neither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Affected bushes may display a range of symptoms. Plants low in vigour may appear to be suffering from nutritional disorders and may slowly decline in vitality of several years (Caruso, 2017). As observed with A. gallica, symptoms may take months (e.g. 10 months - 2 years) before to develop (Prodorutti et al., 2006). Affected bushes may be distributed in patches around focal points of fungal inoculum (Caruso,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Anselmi N, Saraceni A &amp; Anselmi A (2021) Incidence of Armillaria species in agrarian, forest and ornamental ecosystems of the Lazio region. Agriculture &amp; Forestry/Poljoprivreda i šumarstv 67(1).</w:t>
      </w:r>
    </w:p>
    <w:p>
      <w:pPr>
        <w:numPr>
          <w:ilvl w:val="0"/>
          <w:numId w:val="1"/>
        </w:numPr>
        <w:spacing w:before="0" w:after="0" w:line="240" w:lineRule="auto"/>
        <w:jc w:val="left"/>
        <w:rPr>
          <w:color w:val="0200C9"/>
          <w:sz w:val="24"/>
          <w:szCs w:val="24"/>
        </w:rPr>
      </w:pPr>
      <w:r>
        <w:rPr>
          <w:color w:val="0200C9"/>
          <w:sz w:val="24"/>
          <w:szCs w:val="24"/>
        </w:rPr>
        <w:t xml:space="preserve">Caruso FL (2017) Armillaria root rot. In Compendium of Blueberry, Cranberry, and Lingonberry Diseases and Pests 2nd edition (eds Polashock JJ, Caruso FL, Averill AL &amp; Schilder AC). American Phytopathological Society, St Paul, MN, USA. pages 12-13.</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95456ab1d3d3632df" w:history="1">
        <w:r>
          <w:rPr>
            <w:color w:val="0200C9"/>
            <w:sz w:val="24"/>
            <w:szCs w:val="24"/>
          </w:rPr>
          <w:t xml:space="preserve">https://doi.org/10.29328/journal.jpsp.1001031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Guerrero JC, Pérez SF, Ferrada EQ, Cona LQ &amp; Bensch ET (2014) Phytopathogens of hazelnut (Corylus avellana L.) in southern Chile. Acta Horticulturae 1052, 269-274.</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ttps://doi.org/10.3390/pathogens10010076</w:t>
      </w:r>
    </w:p>
    <w:p>
      <w:pPr>
        <w:numPr>
          <w:ilvl w:val="0"/>
          <w:numId w:val="1"/>
        </w:numPr>
        <w:spacing w:before="0" w:after="0" w:line="240" w:lineRule="auto"/>
        <w:jc w:val="left"/>
        <w:rPr>
          <w:color w:val="0200C9"/>
          <w:sz w:val="24"/>
          <w:szCs w:val="24"/>
        </w:rPr>
      </w:pPr>
      <w:r>
        <w:rPr>
          <w:color w:val="0200C9"/>
          <w:sz w:val="24"/>
          <w:szCs w:val="24"/>
        </w:rPr>
        <w:t xml:space="preserve">Palmieri L, Prodorutti D, Gobbin D, Pertot I &amp; Gessler C (2006) Role of barks used in highbush blueberry mulching on Armillaria spp. infections. [Italian] Giornate Fitopatologiche, Riccione (RN), 27-29 marzo 2006. Atti, volume secondo. 301-306.</w:t>
      </w:r>
    </w:p>
    <w:p>
      <w:pPr>
        <w:numPr>
          <w:ilvl w:val="0"/>
          <w:numId w:val="1"/>
        </w:numPr>
        <w:spacing w:before="0" w:after="0" w:line="240" w:lineRule="auto"/>
        <w:jc w:val="left"/>
        <w:rPr>
          <w:color w:val="0200C9"/>
          <w:sz w:val="24"/>
          <w:szCs w:val="24"/>
        </w:rPr>
      </w:pPr>
      <w:r>
        <w:rPr>
          <w:color w:val="0200C9"/>
          <w:sz w:val="24"/>
          <w:szCs w:val="24"/>
        </w:rPr>
        <w:t xml:space="preserve">Prodorutti D, Palmieri L, Gobbin D &amp; Pertot (2006) First report of Armillaria gallica on highbush blueberry (Vaccinium corymbosum) in Italy. Plant pathology 55(4), 583-583.</w:t>
      </w:r>
    </w:p>
    <w:p>
      <w:pPr>
        <w:numPr>
          <w:ilvl w:val="0"/>
          <w:numId w:val="1"/>
        </w:numPr>
        <w:spacing w:before="0" w:after="0" w:line="240" w:lineRule="auto"/>
        <w:jc w:val="left"/>
        <w:rPr>
          <w:color w:val="0200C9"/>
          <w:sz w:val="24"/>
          <w:szCs w:val="24"/>
        </w:rPr>
      </w:pPr>
      <w:r>
        <w:rPr>
          <w:color w:val="0200C9"/>
          <w:sz w:val="24"/>
          <w:szCs w:val="24"/>
        </w:rPr>
        <w:t xml:space="preserve">Prodorutti D, Perlot I, Giongo L &amp; Gessler (2007) Highbush Blueberry: Cultivation, Protection, Breeding and Biotechnology. Phytopathology 99(6), 651-658.</w:t>
      </w:r>
    </w:p>
    <w:p>
      <w:pPr>
        <w:numPr>
          <w:ilvl w:val="0"/>
          <w:numId w:val="1"/>
        </w:numPr>
        <w:spacing w:before="0" w:after="0" w:line="240" w:lineRule="auto"/>
        <w:jc w:val="left"/>
        <w:rPr>
          <w:color w:val="0200C9"/>
          <w:sz w:val="24"/>
          <w:szCs w:val="24"/>
        </w:rPr>
      </w:pPr>
      <w:r>
        <w:rPr>
          <w:color w:val="0200C9"/>
          <w:sz w:val="24"/>
          <w:szCs w:val="24"/>
        </w:rPr>
        <w:t xml:space="preserve">Prodorutti D, Vanblaere T, Gobbin D, Pellegrini A, Gessler C &amp; Pertot I (2009) Genetic diversity of Armillaria spp. infecting highbush blueberry in Northern Italy (Trentino Region). The European Journal of Plant Science and Biotechnology 1(1), 44-56. Available at </w:t>
      </w:r>
      <w:hyperlink r:id="rId49756ab1d3d36337e" w:history="1">
        <w:r>
          <w:rPr>
            <w:color w:val="0200C9"/>
            <w:sz w:val="24"/>
            <w:szCs w:val="24"/>
          </w:rPr>
          <w:t xml:space="preserve">http://www.globalsciencebooks.info/Online/GSBOnline/images/0706/EJPSB_1</w:t>
        </w:r>
      </w:hyperlink>
      <w:r>
        <w:rPr>
          <w:color w:val="0200C9"/>
          <w:sz w:val="24"/>
          <w:szCs w:val="24"/>
        </w:rPr>
        <w:t xml:space="preserve">(1)/EJPSB_1(1)44-56o.pdf.</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Raabe RD (2008) Plants resistant or susceptible to Armillaria mellea, the oak root fungus. University of California, Berkeley. </w:t>
      </w:r>
      <w:hyperlink r:id="rId73696ab1d3d3633c0" w:history="1">
        <w:r>
          <w:rPr>
            <w:color w:val="0200C9"/>
            <w:sz w:val="24"/>
            <w:szCs w:val="24"/>
          </w:rPr>
          <w:t xml:space="preserve">https://alamedabackyardgrowers</w:t>
        </w:r>
      </w:hyperlink>
      <w:r>
        <w:rPr>
          <w:color w:val="0200C9"/>
          <w:sz w:val="24"/>
          <w:szCs w:val="24"/>
        </w:rPr>
        <w:t xml:space="preserve">. org/wp-content/uploads/2019/01/List-of-Oak-Root-Fungus-Resistant-or-Susceptible-Trees-Plants. pdf.[accessed 28 Jul 2023].</w:t>
      </w:r>
    </w:p>
    <w:p>
      <w:pPr>
        <w:numPr>
          <w:ilvl w:val="0"/>
          <w:numId w:val="1"/>
        </w:numPr>
        <w:spacing w:before="0" w:after="0" w:line="240" w:lineRule="auto"/>
        <w:jc w:val="left"/>
        <w:rPr>
          <w:color w:val="0200C9"/>
          <w:sz w:val="24"/>
          <w:szCs w:val="24"/>
        </w:rPr>
      </w:pPr>
      <w:r>
        <w:rPr>
          <w:color w:val="0200C9"/>
          <w:sz w:val="24"/>
          <w:szCs w:val="24"/>
        </w:rPr>
        <w:t xml:space="preserve">Raziq F &amp; Fox RTV (2006). The integrated control of Armillaria mellea 2. Field experiments. Biological agriculture &amp; horticulture 23(3), 235-249.</w:t>
      </w:r>
    </w:p>
    <w:p>
      <w:pPr>
        <w:numPr>
          <w:ilvl w:val="0"/>
          <w:numId w:val="1"/>
        </w:numPr>
        <w:spacing w:before="0" w:after="0" w:line="240" w:lineRule="auto"/>
        <w:jc w:val="left"/>
        <w:rPr>
          <w:color w:val="0200C9"/>
          <w:sz w:val="24"/>
          <w:szCs w:val="24"/>
        </w:rPr>
      </w:pPr>
      <w:r>
        <w:rPr>
          <w:color w:val="0200C9"/>
          <w:sz w:val="24"/>
          <w:szCs w:val="24"/>
        </w:rPr>
        <w:t xml:space="preserve">Schnabel G (2017). Armillaria root rot. In Compendium of Apple and Pear Diseases and Pests 2nd edition (eds Sutton TB, Aldwinckle HS, Agnello AM &amp; Walgenbach JF). American Phytopathological Society, St Paul, MN, USA. pages 70-71.</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Thomidis T &amp; Exadaktylou E (2012) Effectiveness of cyproconazole to control Armillaria root rot of apple, walnut and kiwifruit. Crop Protection 36, 49-51.</w:t>
      </w:r>
    </w:p>
    <w:p>
      <w:pPr>
        <w:numPr>
          <w:ilvl w:val="0"/>
          <w:numId w:val="1"/>
        </w:numPr>
        <w:spacing w:before="0" w:after="0" w:line="240" w:lineRule="auto"/>
        <w:jc w:val="left"/>
        <w:rPr>
          <w:color w:val="0200C9"/>
          <w:sz w:val="24"/>
          <w:szCs w:val="24"/>
        </w:rPr>
      </w:pPr>
      <w:r>
        <w:rPr>
          <w:color w:val="0200C9"/>
          <w:sz w:val="24"/>
          <w:szCs w:val="24"/>
        </w:rPr>
        <w:t xml:space="preserve">UC PMG (2017a) Armillaria root rot (oak root fungus). In Apple - Pest management guidelines for agriculture. University of California Agriculture and Natural Resources, UC IPM Pest Management Guidelines: UC ANR Publication 3432 page 72.</w:t>
      </w:r>
    </w:p>
    <w:p>
      <w:pPr>
        <w:numPr>
          <w:ilvl w:val="0"/>
          <w:numId w:val="1"/>
        </w:numPr>
        <w:spacing w:before="0" w:after="0" w:line="240" w:lineRule="auto"/>
        <w:jc w:val="left"/>
        <w:rPr>
          <w:color w:val="0200C9"/>
          <w:sz w:val="24"/>
          <w:szCs w:val="24"/>
        </w:rPr>
      </w:pPr>
      <w:r>
        <w:rPr>
          <w:color w:val="0200C9"/>
          <w:sz w:val="24"/>
          <w:szCs w:val="24"/>
        </w:rPr>
        <w:t xml:space="preserve">UC PMG (2017b) Armillaria root and crown rot (oak root fungus). In Pear - Pest management guidelines for agriculture. University of California Agriculture and Natural Resources, UC IPM Pest Management Guidelines: UC ANR Publication 3455 page 78-79.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34660">
    <w:multiLevelType w:val="hybridMultilevel"/>
    <w:lvl w:ilvl="0" w:tplc="93815381">
      <w:start w:val="1"/>
      <w:numFmt w:val="decimal"/>
      <w:lvlText w:val="%1."/>
      <w:lvlJc w:val="left"/>
      <w:pPr>
        <w:ind w:left="720" w:hanging="360"/>
      </w:pPr>
    </w:lvl>
    <w:lvl w:ilvl="1" w:tplc="93815381" w:tentative="1">
      <w:start w:val="1"/>
      <w:numFmt w:val="lowerLetter"/>
      <w:lvlText w:val="%2."/>
      <w:lvlJc w:val="left"/>
      <w:pPr>
        <w:ind w:left="1440" w:hanging="360"/>
      </w:pPr>
    </w:lvl>
    <w:lvl w:ilvl="2" w:tplc="93815381" w:tentative="1">
      <w:start w:val="1"/>
      <w:numFmt w:val="lowerRoman"/>
      <w:lvlText w:val="%3."/>
      <w:lvlJc w:val="right"/>
      <w:pPr>
        <w:ind w:left="2160" w:hanging="180"/>
      </w:pPr>
    </w:lvl>
    <w:lvl w:ilvl="3" w:tplc="93815381" w:tentative="1">
      <w:start w:val="1"/>
      <w:numFmt w:val="decimal"/>
      <w:lvlText w:val="%4."/>
      <w:lvlJc w:val="left"/>
      <w:pPr>
        <w:ind w:left="2880" w:hanging="360"/>
      </w:pPr>
    </w:lvl>
    <w:lvl w:ilvl="4" w:tplc="93815381" w:tentative="1">
      <w:start w:val="1"/>
      <w:numFmt w:val="lowerLetter"/>
      <w:lvlText w:val="%5."/>
      <w:lvlJc w:val="left"/>
      <w:pPr>
        <w:ind w:left="3600" w:hanging="360"/>
      </w:pPr>
    </w:lvl>
    <w:lvl w:ilvl="5" w:tplc="93815381" w:tentative="1">
      <w:start w:val="1"/>
      <w:numFmt w:val="lowerRoman"/>
      <w:lvlText w:val="%6."/>
      <w:lvlJc w:val="right"/>
      <w:pPr>
        <w:ind w:left="4320" w:hanging="180"/>
      </w:pPr>
    </w:lvl>
    <w:lvl w:ilvl="6" w:tplc="93815381" w:tentative="1">
      <w:start w:val="1"/>
      <w:numFmt w:val="decimal"/>
      <w:lvlText w:val="%7."/>
      <w:lvlJc w:val="left"/>
      <w:pPr>
        <w:ind w:left="5040" w:hanging="360"/>
      </w:pPr>
    </w:lvl>
    <w:lvl w:ilvl="7" w:tplc="93815381" w:tentative="1">
      <w:start w:val="1"/>
      <w:numFmt w:val="lowerLetter"/>
      <w:lvlText w:val="%8."/>
      <w:lvlJc w:val="left"/>
      <w:pPr>
        <w:ind w:left="5760" w:hanging="360"/>
      </w:pPr>
    </w:lvl>
    <w:lvl w:ilvl="8" w:tplc="93815381" w:tentative="1">
      <w:start w:val="1"/>
      <w:numFmt w:val="lowerRoman"/>
      <w:lvlText w:val="%9."/>
      <w:lvlJc w:val="right"/>
      <w:pPr>
        <w:ind w:left="6480" w:hanging="180"/>
      </w:pPr>
    </w:lvl>
  </w:abstractNum>
  <w:abstractNum w:abstractNumId="79334659">
    <w:multiLevelType w:val="hybridMultilevel"/>
    <w:lvl w:ilvl="0" w:tplc="34010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34659">
    <w:abstractNumId w:val="79334659"/>
  </w:num>
  <w:num w:numId="79334660">
    <w:abstractNumId w:val="793346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9315745" Type="http://schemas.microsoft.com/office/2011/relationships/commentsExtended" Target="commentsExtended.xml"/><Relationship Id="rId27616ab1d3d362e0c" Type="http://schemas.openxmlformats.org/officeDocument/2006/relationships/hyperlink" Target="https://www.gbif.org/fr/species/2536891" TargetMode="External"/><Relationship Id="rId95456ab1d3d3632df" Type="http://schemas.openxmlformats.org/officeDocument/2006/relationships/hyperlink" Target="https://doi.org/10.29328/journal.jpsp.1001031" TargetMode="External"/><Relationship Id="rId49756ab1d3d36337e" Type="http://schemas.openxmlformats.org/officeDocument/2006/relationships/hyperlink" Target="http://www.globalsciencebooks.info/Online/GSBOnline/images/0706/EJPSB_1" TargetMode="External"/><Relationship Id="rId73696ab1d3d3633c0" Type="http://schemas.openxmlformats.org/officeDocument/2006/relationships/hyperlink" Target="https://alamedabackyardgrower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