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Pear bark necrosis agent (PRBN00)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Pear bark necrosis agent (bark necrosis)</w:t>
      </w:r>
      <w:r>
        <w:rPr>
          <w:color w:val="000000"/>
          <w:sz w:val="24"/>
          <w:szCs w:val="24"/>
          <w:u w:val="single"/>
        </w:rPr>
        <w:br/>
        <w:t xml:space="preserve">Pest category:</w:t>
      </w:r>
      <w:r>
        <w:rPr>
          <w:color w:val="000000"/>
          <w:sz w:val="24"/>
          <w:szCs w:val="24"/>
        </w:rPr>
        <w:t xml:space="preserve">
</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F30000"/>
          <w:sz w:val="24"/>
          <w:szCs w:val="24"/>
        </w:rPr>
        <w:t xml:space="preserve">No</w:t>
      </w:r>
      <w:r>
        <w:rPr>
          <w:color w:val="000000"/>
          <w:sz w:val="24"/>
          <w:szCs w:val="24"/>
          <w:u w:val="single"/>
        </w:rPr>
        <w:br/>
        <w:t xml:space="preserve">Is the pest defined at the species level or lower?:</w:t>
      </w:r>
      <w:r>
        <w:rPr>
          <w:color w:val="000000"/>
          <w:sz w:val="24"/>
          <w:szCs w:val="24"/>
        </w:rPr>
        <w:t xml:space="preserve">
</w:t>
      </w:r>
      <w:r>
        <w:rPr>
          <w:color w:val="F30000"/>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F30000"/>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F30000"/>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F30000"/>
          <w:sz w:val="24"/>
          <w:szCs w:val="24"/>
        </w:rPr>
        <w:t xml:space="preserve">Note on taxonomy: Pear bark necrosis disease was first described by Kegler (1967). Since two types of symptoms were reported, it is still not clear whether one or two agents evoke the symptoms (Nemeth, 1986). Therefore, pear bark necrosis agent would be an appropriate name. Field indexing using woody indexing (Jelkmann, 2004) would be needed for detection and identification. NB. Quince bark necrosis was evoked after graft-inoculation of quince with three isolates of apple rubbery (Cropley et al., 1963), a disease of unknown aetiology.</w:t>
      </w:r>
      <w:r>
        <w:rPr>
          <w:color w:val="F30000"/>
          <w:sz w:val="24"/>
          <w:szCs w:val="24"/>
        </w:rPr>
        <w:br/>
        <w:t xml:space="preserve">There are several old accounts in literature about bark disorders affecting pear trees, each with a different name: pear blister canker (Cropley, 1960), pear rough bark (Thomsen, 1961), pear bark split and necrosis (Kegler, 1967; Kegler et al., 1968), and pear bark measles (Cordy &amp; MacSwan, 1961). Because they were reported in different pear cultivars and because these agents remain poorly defined, it is difficult to ascertain whether they indeed correspond to different diseases (Flores et al., 2011).</w:t>
      </w:r>
      <w:r>
        <w:rPr>
          <w:color w:val="F30000"/>
          <w:sz w:val="24"/>
          <w:szCs w:val="24"/>
        </w:rPr>
        <w:br/>
        <w:br/>
        <w:t xml:space="preserve">Pear bark necrosis agent does not fulfill the requirement of identity and should therefore not be listed as an RNQP.</w:t>
      </w:r>
      <w:r>
        <w:rPr>
          <w:color w:val="F30000"/>
          <w:sz w:val="24"/>
          <w:szCs w:val="24"/>
        </w:rPr>
        <w:br/>
        <w:t xml:space="preserve">[Remark: LT and NL did not support recommendation for regulation of pear bark necrosis agent as an RNQP since no information is available yet on causal agents. DE indicated that pear bark necrosis agent was also listed as an RNQP in CH and GB]</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606060"/>
          <w:sz w:val="24"/>
          <w:szCs w:val="24"/>
        </w:rPr>
        <w:t xml:space="preserve">No</w:t>
      </w:r>
      <w:r>
        <w:rPr>
          <w:color w:val="000000"/>
          <w:sz w:val="24"/>
          <w:szCs w:val="24"/>
          <w:u w:val="single"/>
        </w:rPr>
        <w:br/>
        <w:t xml:space="preserve">Presence in the EU:</w:t>
      </w:r>
      <w:r>
        <w:rPr>
          <w:color w:val="000000"/>
          <w:sz w:val="24"/>
          <w:szCs w:val="24"/>
        </w:rPr>
        <w:t xml:space="preserve">
</w:t>
      </w:r>
      <w:r>
        <w:rPr>
          <w:color w:val="606060"/>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606060"/>
          <w:sz w:val="24"/>
          <w:szCs w:val="24"/>
        </w:rPr>
        <w:t xml:space="preserve">-</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Cydonia oblonga (CYDOB)</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Testing for 'bark necrosis' recommended in EPPO Standard PM 4-27 Pathogen-tested material of Malus, Pyrus and Cydonia, for Pyrus and Cydonia.' In the preliminary excel file submitted by the European Commission, one country highlighted that the causal agents would need to be defined and that little information in available on epidemiology. It was proposed as a candidate for delisting.</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clear taxonomy</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Cropley R (1960) Pear blister canker: a virus disease. Annual Report East Mailing Research Station for 1959 43, 104.</w:t>
      </w:r>
    </w:p>
    <w:p>
      <w:pPr>
        <w:numPr>
          <w:ilvl w:val="0"/>
          <w:numId w:val="1"/>
        </w:numPr>
        <w:spacing w:before="0" w:after="0" w:line="240" w:lineRule="auto"/>
        <w:jc w:val="left"/>
        <w:rPr>
          <w:color w:val="0200C9"/>
          <w:sz w:val="24"/>
          <w:szCs w:val="24"/>
        </w:rPr>
      </w:pPr>
      <w:r>
        <w:rPr>
          <w:color w:val="0200C9"/>
          <w:sz w:val="24"/>
          <w:szCs w:val="24"/>
        </w:rPr>
        <w:t xml:space="preserve">Cropley R (1963) Blister canker of pear. In Virus diseases of apples and pears (ed AF Posnette). Technical Communication No. 30. Commonwealth Bureau of Horticulture and Plantation Crops, East Malling, Maidstone, Kent, UK, pp 103-106.</w:t>
      </w:r>
    </w:p>
    <w:p>
      <w:pPr>
        <w:numPr>
          <w:ilvl w:val="0"/>
          <w:numId w:val="1"/>
        </w:numPr>
        <w:spacing w:before="0" w:after="0" w:line="240" w:lineRule="auto"/>
        <w:jc w:val="left"/>
        <w:rPr>
          <w:color w:val="0200C9"/>
          <w:sz w:val="24"/>
          <w:szCs w:val="24"/>
        </w:rPr>
      </w:pPr>
      <w:r>
        <w:rPr>
          <w:color w:val="0200C9"/>
          <w:sz w:val="24"/>
          <w:szCs w:val="24"/>
        </w:rPr>
        <w:t xml:space="preserve">Cropley R, Wolfswinkel LD &amp; Posnette AF (1963) The identification of some viruses infecting apple, pear and quince. Proceedings 5th European Symposium Fruit Tree Virus Diseases, in Phytpathologia mediterranea 2, 132-136.</w:t>
      </w:r>
    </w:p>
    <w:p>
      <w:pPr>
        <w:numPr>
          <w:ilvl w:val="0"/>
          <w:numId w:val="1"/>
        </w:numPr>
        <w:spacing w:before="0" w:after="0" w:line="240" w:lineRule="auto"/>
        <w:jc w:val="left"/>
        <w:rPr>
          <w:color w:val="0200C9"/>
          <w:sz w:val="24"/>
          <w:szCs w:val="24"/>
        </w:rPr>
      </w:pPr>
      <w:r>
        <w:rPr>
          <w:color w:val="0200C9"/>
          <w:sz w:val="24"/>
          <w:szCs w:val="24"/>
        </w:rPr>
        <w:t xml:space="preserve">Cordy CD &amp; MacSwan JC (1961). Some evidence that pear bark measles is seed-borne. Plant Disease Reporter 45, 891.</w:t>
      </w:r>
    </w:p>
    <w:p>
      <w:pPr>
        <w:numPr>
          <w:ilvl w:val="0"/>
          <w:numId w:val="1"/>
        </w:numPr>
        <w:spacing w:before="0" w:after="0" w:line="240" w:lineRule="auto"/>
        <w:jc w:val="left"/>
        <w:rPr>
          <w:color w:val="0200C9"/>
          <w:sz w:val="24"/>
          <w:szCs w:val="24"/>
        </w:rPr>
      </w:pPr>
      <w:r>
        <w:rPr>
          <w:color w:val="0200C9"/>
          <w:sz w:val="24"/>
          <w:szCs w:val="24"/>
        </w:rPr>
        <w:t xml:space="preserve">Desvignes JC, Cornaggia D, Grasseau N, Ambros S &amp; Flores R (1999) Pear blister canker viroid: host range and improved bioassay with two new pear indicators, Fieud 37 and Fieud 110. Plant Disease 83(5), 419-422.</w:t>
      </w:r>
    </w:p>
    <w:p>
      <w:pPr>
        <w:numPr>
          <w:ilvl w:val="0"/>
          <w:numId w:val="1"/>
        </w:numPr>
        <w:spacing w:before="0" w:after="0" w:line="240" w:lineRule="auto"/>
        <w:jc w:val="left"/>
        <w:rPr>
          <w:color w:val="0200C9"/>
          <w:sz w:val="24"/>
          <w:szCs w:val="24"/>
        </w:rPr>
      </w:pPr>
      <w:r>
        <w:rPr>
          <w:color w:val="0200C9"/>
          <w:sz w:val="24"/>
          <w:szCs w:val="24"/>
        </w:rPr>
        <w:t xml:space="preserve">Kegler H (1967) Der Viröse Birnenverfall, die Rindenrissigkeit und die Rindennekrose. Obstbau 7, 21-23.</w:t>
      </w:r>
    </w:p>
    <w:p>
      <w:pPr>
        <w:numPr>
          <w:ilvl w:val="0"/>
          <w:numId w:val="1"/>
        </w:numPr>
        <w:spacing w:before="0" w:after="0" w:line="240" w:lineRule="auto"/>
        <w:jc w:val="left"/>
        <w:rPr>
          <w:color w:val="0200C9"/>
          <w:sz w:val="24"/>
          <w:szCs w:val="24"/>
        </w:rPr>
      </w:pPr>
      <w:r>
        <w:rPr>
          <w:color w:val="0200C9"/>
          <w:sz w:val="24"/>
          <w:szCs w:val="24"/>
        </w:rPr>
        <w:t xml:space="preserve">Kegler H, Schmidt HE &amp; Schimanski HH (1968) Der Nachweis weiterer Viruskrankheiten an Obstgehölzen in der Deutschen Demokratischen Republik. Nachrichtenblatt des Deutschen Pflanzenschutzdienst (Berlin), 22, 168-175</w:t>
      </w:r>
    </w:p>
    <w:p>
      <w:pPr>
        <w:numPr>
          <w:ilvl w:val="0"/>
          <w:numId w:val="1"/>
        </w:numPr>
        <w:spacing w:before="0" w:after="0" w:line="240" w:lineRule="auto"/>
        <w:jc w:val="left"/>
        <w:rPr>
          <w:color w:val="0200C9"/>
          <w:sz w:val="24"/>
          <w:szCs w:val="24"/>
        </w:rPr>
      </w:pPr>
      <w:r>
        <w:rPr>
          <w:color w:val="0200C9"/>
          <w:sz w:val="24"/>
          <w:szCs w:val="24"/>
        </w:rPr>
        <w:t xml:space="preserve">Nemeth M (1986) Pear bark necrosis. In Virus, Mycoplasma and Rickettsia Diseases (ed Nemeth M). Martinus Nijhoff Publishers, Dordrecht, The Netherlands, pp 223-225.</w:t>
      </w:r>
    </w:p>
    <w:p>
      <w:pPr>
        <w:numPr>
          <w:ilvl w:val="0"/>
          <w:numId w:val="1"/>
        </w:numPr>
        <w:spacing w:before="0" w:after="0" w:line="240" w:lineRule="auto"/>
        <w:jc w:val="left"/>
        <w:rPr>
          <w:color w:val="0200C9"/>
          <w:sz w:val="24"/>
          <w:szCs w:val="24"/>
        </w:rPr>
      </w:pPr>
      <w:r>
        <w:rPr>
          <w:color w:val="0200C9"/>
          <w:sz w:val="24"/>
          <w:szCs w:val="24"/>
        </w:rPr>
        <w:t xml:space="preserve">Flores R, Ambrós S, Llácer G &amp; Hernández (2011) Pear blister canker viroid (Chapter 13). In Virus and Virus-Like Diseases of Pome and Stone Fruits (eds Hadidi A, Barba M, Candresse T &amp; Jelkmann W). American Phytopathological Society, St Paul, MN, USA. pp 63-66.</w:t>
      </w:r>
    </w:p>
    <w:p>
      <w:pPr>
        <w:numPr>
          <w:ilvl w:val="0"/>
          <w:numId w:val="1"/>
        </w:numPr>
        <w:spacing w:before="0" w:after="0" w:line="240" w:lineRule="auto"/>
        <w:jc w:val="left"/>
        <w:rPr>
          <w:color w:val="0200C9"/>
          <w:sz w:val="24"/>
          <w:szCs w:val="24"/>
        </w:rPr>
      </w:pPr>
      <w:r>
        <w:rPr>
          <w:color w:val="0200C9"/>
          <w:sz w:val="24"/>
          <w:szCs w:val="24"/>
        </w:rPr>
        <w:t xml:space="preserve">Jelkmann W (2004) Detection of virus and virus-like diseases of fruit trees: laboratory assays, bioassays and indicators. Acta Horticulturae 657, 575-596.</w:t>
      </w:r>
    </w:p>
    <w:p>
      <w:pPr>
        <w:numPr>
          <w:ilvl w:val="0"/>
          <w:numId w:val="1"/>
        </w:numPr>
        <w:spacing w:before="0" w:after="0" w:line="240" w:lineRule="auto"/>
        <w:jc w:val="left"/>
        <w:rPr>
          <w:color w:val="0200C9"/>
          <w:sz w:val="24"/>
          <w:szCs w:val="24"/>
        </w:rPr>
      </w:pPr>
      <w:r>
        <w:rPr>
          <w:color w:val="0200C9"/>
          <w:sz w:val="24"/>
          <w:szCs w:val="24"/>
        </w:rPr>
        <w:t xml:space="preserve">Nemeth M (1986) Pear blister canker. In Virus, Mycoplasma and Rickettsia Diseases. Martinus Nijhoff Publishers, Dordrecht, The Netherlands (ed Nemeth M), pp 226-228.</w:t>
      </w:r>
    </w:p>
    <w:p>
      <w:pPr>
        <w:numPr>
          <w:ilvl w:val="0"/>
          <w:numId w:val="1"/>
        </w:numPr>
        <w:spacing w:before="0" w:after="0" w:line="240" w:lineRule="auto"/>
        <w:jc w:val="left"/>
        <w:rPr>
          <w:color w:val="0200C9"/>
          <w:sz w:val="24"/>
          <w:szCs w:val="24"/>
        </w:rPr>
      </w:pPr>
      <w:r>
        <w:rPr>
          <w:color w:val="0200C9"/>
          <w:sz w:val="24"/>
          <w:szCs w:val="24"/>
        </w:rPr>
        <w:t xml:space="preserve">Ronde Kristensen H (1963) Rough bark op pear. In Virus diseases of apples and pears (ed AF Posnette). Technical Communication No. 30. Commonwealth Bureau of Horticulture and Plantation Crops, East Malling, Maidstone, Kent, UK, pp 107-108.</w:t>
      </w:r>
    </w:p>
    <w:p>
      <w:pPr>
        <w:numPr>
          <w:ilvl w:val="0"/>
          <w:numId w:val="1"/>
        </w:numPr>
        <w:spacing w:before="0" w:after="0" w:line="240" w:lineRule="auto"/>
        <w:jc w:val="left"/>
        <w:rPr>
          <w:color w:val="0200C9"/>
          <w:sz w:val="24"/>
          <w:szCs w:val="24"/>
        </w:rPr>
      </w:pPr>
      <w:r>
        <w:rPr>
          <w:color w:val="0200C9"/>
          <w:sz w:val="24"/>
          <w:szCs w:val="24"/>
        </w:rPr>
        <w:t xml:space="preserve">Thomsen A (1961) Split bark of pears (rough bark of pears). Tidsskrift for Planteavl 65, 69-72.</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0444647">
    <w:multiLevelType w:val="hybridMultilevel"/>
    <w:lvl w:ilvl="0" w:tplc="74051867">
      <w:start w:val="1"/>
      <w:numFmt w:val="decimal"/>
      <w:lvlText w:val="%1."/>
      <w:lvlJc w:val="left"/>
      <w:pPr>
        <w:ind w:left="720" w:hanging="360"/>
      </w:pPr>
    </w:lvl>
    <w:lvl w:ilvl="1" w:tplc="74051867" w:tentative="1">
      <w:start w:val="1"/>
      <w:numFmt w:val="lowerLetter"/>
      <w:lvlText w:val="%2."/>
      <w:lvlJc w:val="left"/>
      <w:pPr>
        <w:ind w:left="1440" w:hanging="360"/>
      </w:pPr>
    </w:lvl>
    <w:lvl w:ilvl="2" w:tplc="74051867" w:tentative="1">
      <w:start w:val="1"/>
      <w:numFmt w:val="lowerRoman"/>
      <w:lvlText w:val="%3."/>
      <w:lvlJc w:val="right"/>
      <w:pPr>
        <w:ind w:left="2160" w:hanging="180"/>
      </w:pPr>
    </w:lvl>
    <w:lvl w:ilvl="3" w:tplc="74051867" w:tentative="1">
      <w:start w:val="1"/>
      <w:numFmt w:val="decimal"/>
      <w:lvlText w:val="%4."/>
      <w:lvlJc w:val="left"/>
      <w:pPr>
        <w:ind w:left="2880" w:hanging="360"/>
      </w:pPr>
    </w:lvl>
    <w:lvl w:ilvl="4" w:tplc="74051867" w:tentative="1">
      <w:start w:val="1"/>
      <w:numFmt w:val="lowerLetter"/>
      <w:lvlText w:val="%5."/>
      <w:lvlJc w:val="left"/>
      <w:pPr>
        <w:ind w:left="3600" w:hanging="360"/>
      </w:pPr>
    </w:lvl>
    <w:lvl w:ilvl="5" w:tplc="74051867" w:tentative="1">
      <w:start w:val="1"/>
      <w:numFmt w:val="lowerRoman"/>
      <w:lvlText w:val="%6."/>
      <w:lvlJc w:val="right"/>
      <w:pPr>
        <w:ind w:left="4320" w:hanging="180"/>
      </w:pPr>
    </w:lvl>
    <w:lvl w:ilvl="6" w:tplc="74051867" w:tentative="1">
      <w:start w:val="1"/>
      <w:numFmt w:val="decimal"/>
      <w:lvlText w:val="%7."/>
      <w:lvlJc w:val="left"/>
      <w:pPr>
        <w:ind w:left="5040" w:hanging="360"/>
      </w:pPr>
    </w:lvl>
    <w:lvl w:ilvl="7" w:tplc="74051867" w:tentative="1">
      <w:start w:val="1"/>
      <w:numFmt w:val="lowerLetter"/>
      <w:lvlText w:val="%8."/>
      <w:lvlJc w:val="left"/>
      <w:pPr>
        <w:ind w:left="5760" w:hanging="360"/>
      </w:pPr>
    </w:lvl>
    <w:lvl w:ilvl="8" w:tplc="74051867" w:tentative="1">
      <w:start w:val="1"/>
      <w:numFmt w:val="lowerRoman"/>
      <w:lvlText w:val="%9."/>
      <w:lvlJc w:val="right"/>
      <w:pPr>
        <w:ind w:left="6480" w:hanging="180"/>
      </w:pPr>
    </w:lvl>
  </w:abstractNum>
  <w:abstractNum w:abstractNumId="60444646">
    <w:multiLevelType w:val="hybridMultilevel"/>
    <w:lvl w:ilvl="0" w:tplc="6504787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0444646">
    <w:abstractNumId w:val="60444646"/>
  </w:num>
  <w:num w:numId="60444647">
    <w:abstractNumId w:val="6044464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73526491"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