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Verticillium dahliae (VERTDA)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Austria (2014); Belgium (2015); Bulgaria (1986); Croatia (2016); Cyprus (2011); Czech Republic (2011); Denmark (1986); France (1986); Germany (2012); Greece (2013); Greece/Kriti (2013); Hungary (1986); Italy (2007); Malta (2007); Netherlands (2018); Portugal (1986); Slovakia (2012); Slovenia (2017); Spain (2021)</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90186a3fb78b24059" w:history="1">
        <w:r>
          <w:rPr>
            <w:color w:val="606060"/>
            <w:sz w:val="24"/>
            <w:szCs w:val="24"/>
          </w:rPr>
          <w:t xml:space="preserve">https://gd.eppo.int/</w:t>
        </w:r>
      </w:hyperlink>
      <w:r>
        <w:rPr>
          <w:color w:val="606060"/>
          <w:sz w:val="24"/>
          <w:szCs w:val="24"/>
        </w:rPr>
        <w:t xml:space="preserve">). V. dahliae is present in most EU Member States (MSs), with the exception of Ireland (absent, no pest records) and Poland (absent/uncertain). The current status of V. dahliae in the MSs where the pathogen is known to occur ranges from “restricted distribution” to “widespread” (EFSA, 2014).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Verticillium dahlia is a soil-borne fungus that causes Verticillium wilt diseases in an extremely wide host range of annual and perennial dicotyledonous plant. Its primary economic hosts include: artichoke, aubergine, bell pepper, cotton, hop, lettuce, mints (Mentha spp.), oilseed rape, olive, potato, strawberry and tomato (CABI, 2021); citrus and pome fruits, however, are the exception (Smith et al. 1988).</w:t>
      </w:r>
      <w:r>
        <w:rPr>
          <w:color w:val="0200C9"/>
          <w:sz w:val="24"/>
          <w:szCs w:val="24"/>
        </w:rPr>
        <w:br/>
        <w:t xml:space="preserve">Verticillium dahliae can survive for 14 years in soil as microsclerotia (form of resting spores) (Wilhelm, 1955), either free or embedded in plant debris, which are stimulated to germinate in response to root exudates (Mol, 1995). Infection of plants, both individuals and populations, is directly related to the inoculum density of microsclerotia in the soil (Pullman &amp; DeVay, 1982; Harris &amp; Yang, 1996; Mol et al., 1996; Xiao &amp; Subbarao, 1998).</w:t>
      </w:r>
      <w:r>
        <w:rPr>
          <w:color w:val="0200C9"/>
          <w:sz w:val="24"/>
          <w:szCs w:val="24"/>
        </w:rPr>
        <w:br/>
        <w:t xml:space="preserve">Verticillium dahliae is seed transmitted (CABI, 2021)</w:t>
      </w:r>
      <w:r>
        <w:rPr>
          <w:color w:val="0200C9"/>
          <w:sz w:val="24"/>
          <w:szCs w:val="24"/>
        </w:rPr>
        <w:br/>
        <w:t xml:space="preserve">Verticillium dahliae can easily be dispersed by propagation material (nursery stock) of both herbaceous and woody hosts (e.g. Keykhasaber et al., 2018).</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Disease symptoms may comprise wilting, chlorosis, stunting, necrosis and vein clearing. Brown vascular discoloration may be observed in stem tissue cross-sections (Frandin &amp; Thomma, 2006). Symptoms of Verticillium wilt diseases can vary between hosts; thus, there are no unique symptoms that develop on all plants infected by V. dahliae (Fradin and Thomma, 2006). Moreover, symptoms can vary depending upon strains (pathotypes) of the pathogen (Korolev et al., 2008; Jiménez-Díaz et al., 2012; cited in EFSA, 2014).</w:t>
      </w:r>
      <w:r>
        <w:rPr>
          <w:color w:val="0200C9"/>
          <w:sz w:val="24"/>
          <w:szCs w:val="24"/>
        </w:rPr>
        <w:br/>
        <w:t xml:space="preserve">On peach, Verticillium wilt can be a serious disease in young trees and is known to occur in all major production areas of the United States, Canada, the Mediterranean Basin, Bulgaria, and New Zealand. However, some cultivars show almost complete recovery with age (Gubler, 1995).</w:t>
      </w:r>
      <w:r>
        <w:rPr>
          <w:color w:val="0200C9"/>
          <w:sz w:val="24"/>
          <w:szCs w:val="24"/>
        </w:rPr>
        <w:br/>
        <w:t xml:space="preserve">Orchards can be adversely affected by the disease even when low pathogen numbers in soil (2–3 propagules per gram) are present. Avoid interplanting young orchards with susceptible crop plants, such as cotton, tomatoes, melons, etc. Verticillium dahliae is usually present in these soils. Inoculum levels can be reduced by fumigating the soil, flooding fallow fields in summer, solarizing the soil, growing several seasons of grass cover crops (especially sudangrass or ryegrass), or a combination of these methods. When replanting in an area where susceptible perennials were previously grown, try to remove as many roots of the previous crop as possible (UC PMG, 2017).</w:t>
      </w:r>
      <w:r>
        <w:rPr>
          <w:color w:val="0200C9"/>
          <w:sz w:val="24"/>
          <w:szCs w:val="24"/>
        </w:rPr>
        <w:br/>
        <w:t xml:space="preserve">[In the responses to the questionnaire, SI supported deregulation in the EU because infections of Prunus spp. are relatively rare.]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Verticillium wilt of stone fruits can best be controlled by planting in soil that has low or undetectable inoculum densities and that has been cropped to various grasses or other nonhosts, as there are no resistant rootstocks. Soil fumigation with chloropicrin or with methyl bromide and chloropicrin destroys inoculum of V. dahliae. Proper fertilization and irrigation of orchards may enable trees to recover from infection (Gubler, 1995).</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color w:val="0200C9"/>
          <w:sz w:val="24"/>
          <w:szCs w:val="24"/>
        </w:rPr>
        <w:t xml:space="preserve">Uncertainty whether plants for planting is a significant pathway compared to infection from soil.</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by default (uncertainty on plants for planting being a significant pathway). Conclusion was that there is insufficient evidence to recommend changes from the current regulation and measures.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(2020) Verticillium dahliae (verticillium wilt), CABI Digital Library (Accessed 30/May/2024).</w:t>
      </w:r>
    </w:p>
    <w:p>
      <w:pPr>
        <w:numPr>
          <w:ilvl w:val="0"/>
          <w:numId w:val="1"/>
        </w:numPr>
        <w:spacing w:before="0" w:after="0" w:line="240" w:lineRule="auto"/>
        <w:jc w:val="left"/>
        <w:rPr>
          <w:color w:val="0200C9"/>
          <w:sz w:val="24"/>
          <w:szCs w:val="24"/>
        </w:rPr>
      </w:pPr>
      <w:r>
        <w:rPr>
          <w:color w:val="0200C9"/>
          <w:sz w:val="24"/>
          <w:szCs w:val="24"/>
        </w:rPr>
        <w:t xml:space="preserve">EFSA (2014) Scientific opinion on the pest categorisation of Verticillium dahliae Kleb.1. EFSA Panel on Plant Health (PLH). EFSA Journal 12(12), 3928, 54 pp.</w:t>
      </w:r>
    </w:p>
    <w:p>
      <w:pPr>
        <w:numPr>
          <w:ilvl w:val="0"/>
          <w:numId w:val="1"/>
        </w:numPr>
        <w:spacing w:before="0" w:after="0" w:line="240" w:lineRule="auto"/>
        <w:jc w:val="left"/>
        <w:rPr>
          <w:color w:val="0200C9"/>
          <w:sz w:val="24"/>
          <w:szCs w:val="24"/>
        </w:rPr>
      </w:pPr>
      <w:r>
        <w:rPr>
          <w:color w:val="0200C9"/>
          <w:sz w:val="24"/>
          <w:szCs w:val="24"/>
        </w:rPr>
        <w:t xml:space="preserve">Fradin EF &amp; Thomma BP (2006). Physiology and molecular aspects of Verticillium wilt diseases caused by V. dahliae and V. albo-atrum. Molecular Plant Pathology 7(2), 71-86. doi: 10.1111/j.1364-3703.2006.00323.x.</w:t>
      </w:r>
    </w:p>
    <w:p>
      <w:pPr>
        <w:numPr>
          <w:ilvl w:val="0"/>
          <w:numId w:val="1"/>
        </w:numPr>
        <w:spacing w:before="0" w:after="0" w:line="240" w:lineRule="auto"/>
        <w:jc w:val="left"/>
        <w:rPr>
          <w:color w:val="0200C9"/>
          <w:sz w:val="24"/>
          <w:szCs w:val="24"/>
        </w:rPr>
      </w:pPr>
      <w:r>
        <w:rPr>
          <w:color w:val="0200C9"/>
          <w:sz w:val="24"/>
          <w:szCs w:val="24"/>
        </w:rPr>
        <w:t xml:space="preserve">Gubler WD (1995). Verticillium wilt. In Compendium of stone fruit diseases (eds Ogawa JM, Zehr EI, Bird GW, Ritchie DF, Uriu K &amp; Uyemoto JK). American Phytopathological Society, St Paul, MN, USA. pages 40-41,</w:t>
      </w:r>
    </w:p>
    <w:p>
      <w:pPr>
        <w:numPr>
          <w:ilvl w:val="0"/>
          <w:numId w:val="1"/>
        </w:numPr>
        <w:spacing w:before="0" w:after="0" w:line="240" w:lineRule="auto"/>
        <w:jc w:val="left"/>
        <w:rPr>
          <w:color w:val="0200C9"/>
          <w:sz w:val="24"/>
          <w:szCs w:val="24"/>
        </w:rPr>
      </w:pPr>
      <w:r>
        <w:rPr>
          <w:color w:val="0200C9"/>
          <w:sz w:val="24"/>
          <w:szCs w:val="24"/>
        </w:rPr>
        <w:t xml:space="preserve">Harris DC &amp; Yang JR (1996). The relationship between the amount of Verticillium dahliae in soil and the incidence of strawberry wilt as a basis for disease risk prediction. Plant Pathology 45(1), 106-114.</w:t>
      </w:r>
    </w:p>
    <w:p>
      <w:pPr>
        <w:numPr>
          <w:ilvl w:val="0"/>
          <w:numId w:val="1"/>
        </w:numPr>
        <w:spacing w:before="0" w:after="0" w:line="240" w:lineRule="auto"/>
        <w:jc w:val="left"/>
        <w:rPr>
          <w:color w:val="0200C9"/>
          <w:sz w:val="24"/>
          <w:szCs w:val="24"/>
        </w:rPr>
      </w:pPr>
      <w:r>
        <w:rPr>
          <w:color w:val="0200C9"/>
          <w:sz w:val="24"/>
          <w:szCs w:val="24"/>
        </w:rPr>
        <w:t xml:space="preserve">Jiménez-Díaz RM, Cirulli M, Bubici G, Jiménez-Gasco MM, Antoniou PP &amp; Tjamos EC (2012). Verticillium wilt: a major threat to olive production. Current status and future prospects for its management. Plant Disease 96, 304–329.</w:t>
      </w:r>
    </w:p>
    <w:p>
      <w:pPr>
        <w:numPr>
          <w:ilvl w:val="0"/>
          <w:numId w:val="1"/>
        </w:numPr>
        <w:spacing w:before="0" w:after="0" w:line="240" w:lineRule="auto"/>
        <w:jc w:val="left"/>
        <w:rPr>
          <w:color w:val="0200C9"/>
          <w:sz w:val="24"/>
          <w:szCs w:val="24"/>
        </w:rPr>
      </w:pPr>
      <w:r>
        <w:rPr>
          <w:color w:val="0200C9"/>
          <w:sz w:val="24"/>
          <w:szCs w:val="24"/>
        </w:rPr>
        <w:t xml:space="preserve">Keykhasaber M., Thomma BPHJ &amp; Hiemstra JA (2018) Verticillium wilt caused by Verticillium dahliae in woody plants with emphasis on olive and shade trees. European Journal of Plant Pathology 150, 21-37.</w:t>
      </w:r>
    </w:p>
    <w:p>
      <w:pPr>
        <w:numPr>
          <w:ilvl w:val="0"/>
          <w:numId w:val="1"/>
        </w:numPr>
        <w:spacing w:before="0" w:after="0" w:line="240" w:lineRule="auto"/>
        <w:jc w:val="left"/>
        <w:rPr>
          <w:color w:val="0200C9"/>
          <w:sz w:val="24"/>
          <w:szCs w:val="24"/>
        </w:rPr>
      </w:pPr>
      <w:r>
        <w:rPr>
          <w:color w:val="0200C9"/>
          <w:sz w:val="24"/>
          <w:szCs w:val="24"/>
        </w:rPr>
        <w:t xml:space="preserve">Korolev N, Pérez-Artés E, Mercado-Blanco J, Bejarano-Alcázar J, Rodríguez-Jurado D, Jiménez-Díaz RM &amp;, Katan T &amp; Katan J (2008) Vegetative compatibility of cotton-defoliating Verticillium dahliae in Israel and its pathogenicity to various crop plants. European Journal of Plant Pathology 122, 603–617. DOI 10.1007/s10658-008-9330-1</w:t>
      </w:r>
    </w:p>
    <w:p>
      <w:pPr>
        <w:numPr>
          <w:ilvl w:val="0"/>
          <w:numId w:val="1"/>
        </w:numPr>
        <w:spacing w:before="0" w:after="0" w:line="240" w:lineRule="auto"/>
        <w:jc w:val="left"/>
        <w:rPr>
          <w:color w:val="0200C9"/>
          <w:sz w:val="24"/>
          <w:szCs w:val="24"/>
        </w:rPr>
      </w:pPr>
      <w:r>
        <w:rPr>
          <w:color w:val="0200C9"/>
          <w:sz w:val="24"/>
          <w:szCs w:val="24"/>
        </w:rPr>
        <w:t xml:space="preserve">Mol L, Halteren JM van, Scholte K &amp; Struik PC (1996). Effects of crop species, crop cultivars and isolates of Verticillium dahliae on the population of microsclerotia in the soil, and consequences for crop yield. Plant Pathology 45(2), 205-214.</w:t>
      </w:r>
    </w:p>
    <w:p>
      <w:pPr>
        <w:numPr>
          <w:ilvl w:val="0"/>
          <w:numId w:val="1"/>
        </w:numPr>
        <w:spacing w:before="0" w:after="0" w:line="240" w:lineRule="auto"/>
        <w:jc w:val="left"/>
        <w:rPr>
          <w:color w:val="0200C9"/>
          <w:sz w:val="24"/>
          <w:szCs w:val="24"/>
        </w:rPr>
      </w:pPr>
      <w:r>
        <w:rPr>
          <w:color w:val="0200C9"/>
          <w:sz w:val="24"/>
          <w:szCs w:val="24"/>
        </w:rPr>
        <w:t xml:space="preserve">Pullman GS &amp; DeVay JE (1982). Epidemiology of Verticillium wilt of cotton: a relationship between inoculum density and disease progression. Phytopathology 72(5), 549-554.</w:t>
      </w:r>
    </w:p>
    <w:p>
      <w:pPr>
        <w:numPr>
          <w:ilvl w:val="0"/>
          <w:numId w:val="1"/>
        </w:numPr>
        <w:spacing w:before="0" w:after="0" w:line="240" w:lineRule="auto"/>
        <w:jc w:val="left"/>
        <w:rPr>
          <w:color w:val="0200C9"/>
          <w:sz w:val="24"/>
          <w:szCs w:val="24"/>
        </w:rPr>
      </w:pPr>
      <w:r>
        <w:rPr>
          <w:color w:val="0200C9"/>
          <w:sz w:val="24"/>
          <w:szCs w:val="24"/>
        </w:rPr>
        <w:t xml:space="preserve">Smith IM, Dunez J, Phillips DH, Lelliot RA &amp; Archer SA (eds) (1988) European handbook of diseases: Verticillium dahlia Kleb. and Verticillium albo-atrum Reinke &amp; Berthold. Blackwell Scientific Publications Oxford, UK. 299-302.</w:t>
      </w:r>
    </w:p>
    <w:p>
      <w:pPr>
        <w:numPr>
          <w:ilvl w:val="0"/>
          <w:numId w:val="1"/>
        </w:numPr>
        <w:spacing w:before="0" w:after="0" w:line="240" w:lineRule="auto"/>
        <w:jc w:val="left"/>
        <w:rPr>
          <w:color w:val="0200C9"/>
          <w:sz w:val="24"/>
          <w:szCs w:val="24"/>
        </w:rPr>
      </w:pPr>
      <w:r>
        <w:rPr>
          <w:color w:val="0200C9"/>
          <w:sz w:val="24"/>
          <w:szCs w:val="24"/>
        </w:rPr>
        <w:t xml:space="preserve">UC PMG (2017) Verticillium wilt. In Pest management guidelines for agriculture – Peach. University of California, Agriculture and Natural Resources, publication 3431, pages 45-46.</w:t>
      </w:r>
    </w:p>
    <w:p>
      <w:pPr>
        <w:numPr>
          <w:ilvl w:val="0"/>
          <w:numId w:val="1"/>
        </w:numPr>
        <w:spacing w:before="0" w:after="0" w:line="240" w:lineRule="auto"/>
        <w:jc w:val="left"/>
        <w:rPr>
          <w:color w:val="0200C9"/>
          <w:sz w:val="24"/>
          <w:szCs w:val="24"/>
        </w:rPr>
      </w:pPr>
      <w:r>
        <w:rPr>
          <w:color w:val="0200C9"/>
          <w:sz w:val="24"/>
          <w:szCs w:val="24"/>
        </w:rPr>
        <w:t xml:space="preserve">Wilhelm S (1955) Longevity of Verticillium wilt fungus in the laboratory and the field. Phytopathology 45, 180-181.</w:t>
      </w:r>
    </w:p>
    <w:p>
      <w:pPr>
        <w:numPr>
          <w:ilvl w:val="0"/>
          <w:numId w:val="1"/>
        </w:numPr>
        <w:spacing w:before="0" w:after="0" w:line="240" w:lineRule="auto"/>
        <w:jc w:val="left"/>
        <w:rPr>
          <w:color w:val="0200C9"/>
          <w:sz w:val="24"/>
          <w:szCs w:val="24"/>
        </w:rPr>
      </w:pPr>
      <w:r>
        <w:rPr>
          <w:color w:val="0200C9"/>
          <w:sz w:val="24"/>
          <w:szCs w:val="24"/>
        </w:rPr>
        <w:t xml:space="preserve">Xiao CL &amp; Subbarao KV (1998). Relationships between Verticillium dahliae inoculum density and wilt incidence, severity, and growth of cauliflower. Phytopathology 88(10), 1108-1115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976302">
    <w:multiLevelType w:val="hybridMultilevel"/>
    <w:lvl w:ilvl="0" w:tplc="46718926">
      <w:start w:val="1"/>
      <w:numFmt w:val="decimal"/>
      <w:lvlText w:val="%1."/>
      <w:lvlJc w:val="left"/>
      <w:pPr>
        <w:ind w:left="720" w:hanging="360"/>
      </w:pPr>
    </w:lvl>
    <w:lvl w:ilvl="1" w:tplc="46718926" w:tentative="1">
      <w:start w:val="1"/>
      <w:numFmt w:val="lowerLetter"/>
      <w:lvlText w:val="%2."/>
      <w:lvlJc w:val="left"/>
      <w:pPr>
        <w:ind w:left="1440" w:hanging="360"/>
      </w:pPr>
    </w:lvl>
    <w:lvl w:ilvl="2" w:tplc="46718926" w:tentative="1">
      <w:start w:val="1"/>
      <w:numFmt w:val="lowerRoman"/>
      <w:lvlText w:val="%3."/>
      <w:lvlJc w:val="right"/>
      <w:pPr>
        <w:ind w:left="2160" w:hanging="180"/>
      </w:pPr>
    </w:lvl>
    <w:lvl w:ilvl="3" w:tplc="46718926" w:tentative="1">
      <w:start w:val="1"/>
      <w:numFmt w:val="decimal"/>
      <w:lvlText w:val="%4."/>
      <w:lvlJc w:val="left"/>
      <w:pPr>
        <w:ind w:left="2880" w:hanging="360"/>
      </w:pPr>
    </w:lvl>
    <w:lvl w:ilvl="4" w:tplc="46718926" w:tentative="1">
      <w:start w:val="1"/>
      <w:numFmt w:val="lowerLetter"/>
      <w:lvlText w:val="%5."/>
      <w:lvlJc w:val="left"/>
      <w:pPr>
        <w:ind w:left="3600" w:hanging="360"/>
      </w:pPr>
    </w:lvl>
    <w:lvl w:ilvl="5" w:tplc="46718926" w:tentative="1">
      <w:start w:val="1"/>
      <w:numFmt w:val="lowerRoman"/>
      <w:lvlText w:val="%6."/>
      <w:lvlJc w:val="right"/>
      <w:pPr>
        <w:ind w:left="4320" w:hanging="180"/>
      </w:pPr>
    </w:lvl>
    <w:lvl w:ilvl="6" w:tplc="46718926" w:tentative="1">
      <w:start w:val="1"/>
      <w:numFmt w:val="decimal"/>
      <w:lvlText w:val="%7."/>
      <w:lvlJc w:val="left"/>
      <w:pPr>
        <w:ind w:left="5040" w:hanging="360"/>
      </w:pPr>
    </w:lvl>
    <w:lvl w:ilvl="7" w:tplc="46718926" w:tentative="1">
      <w:start w:val="1"/>
      <w:numFmt w:val="lowerLetter"/>
      <w:lvlText w:val="%8."/>
      <w:lvlJc w:val="left"/>
      <w:pPr>
        <w:ind w:left="5760" w:hanging="360"/>
      </w:pPr>
    </w:lvl>
    <w:lvl w:ilvl="8" w:tplc="46718926" w:tentative="1">
      <w:start w:val="1"/>
      <w:numFmt w:val="lowerRoman"/>
      <w:lvlText w:val="%9."/>
      <w:lvlJc w:val="right"/>
      <w:pPr>
        <w:ind w:left="6480" w:hanging="180"/>
      </w:pPr>
    </w:lvl>
  </w:abstractNum>
  <w:abstractNum w:abstractNumId="92976301">
    <w:multiLevelType w:val="hybridMultilevel"/>
    <w:lvl w:ilvl="0" w:tplc="520361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976301">
    <w:abstractNumId w:val="92976301"/>
  </w:num>
  <w:num w:numId="92976302">
    <w:abstractNumId w:val="9297630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8368748" Type="http://schemas.microsoft.com/office/2011/relationships/commentsExtended" Target="commentsExtended.xml"/><Relationship Id="rId90186a3fb78b24059"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