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(2014); Belgium (2015); Bulgaria (1986); Croatia (2016); Cyprus (2011); Czech Republic (2011); Denmark (1986); France (1986); Germany (2012); Greece (2013); Greece/Kriti (2013); Hungary (1986); Italy (2007); Malta (2007); Netherlands (2018); Portugal (1986); Slovakia (2012); Slovenia (2017); Spain (2021)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24106ab688f95a9c3" w:history="1">
        <w:r>
          <w:rPr>
            <w:color w:val="606060"/>
            <w:sz w:val="24"/>
            <w:szCs w:val="24"/>
          </w:rPr>
          <w:t xml:space="preserve">https://gd.eppo.int/</w:t>
        </w:r>
      </w:hyperlink>
      <w:r>
        <w:rPr>
          <w:color w:val="606060"/>
          <w:sz w:val="24"/>
          <w:szCs w:val="24"/>
        </w:rPr>
        <w:t xml:space="preserve">). V. dahliae is present in most EU Member States (MSs), with the exception of Ireland (absent, no pest records) and Poland (absent/uncertain). The current status of V. dahliae in the MSs where the pathogen is known to occur ranges from “restricted distribution” to “widespread”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and Thomma, 2006). Moreover, symptoms can vary depending upon strains (pathotypes) of the pathogen (Korolev et al., 2008; Jiménez-Díaz et al., 2012).</w:t>
      </w:r>
      <w:r>
        <w:rPr>
          <w:color w:val="F30000"/>
          <w:sz w:val="24"/>
          <w:szCs w:val="24"/>
        </w:rPr>
        <w:br/>
        <w:t xml:space="preserve">Verticillium wilt occurs on plum, but as a group plum is least affected of the Prunus spp. (Gubler, 1995).</w:t>
      </w:r>
      <w:r>
        <w:rPr>
          <w:color w:val="F30000"/>
          <w:sz w:val="24"/>
          <w:szCs w:val="24"/>
        </w:rPr>
        <w:br/>
        <w:t xml:space="preserve">[In the responses to the questionnaire, SI supported deregulation in the EU because infections of Prunus spp.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Based on general information for Prunus spp. No specific information.</w:t>
      </w:r>
      <w:r>
        <w:rPr>
          <w:color w:val="F30000"/>
          <w:sz w:val="24"/>
          <w:szCs w:val="24"/>
        </w:rPr>
        <w:br/>
        <w:t xml:space="preserve">Remark: no reason to consider possible unacceptable economic impact to other hosts with this species more than with another species which is not regulated at present.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soil</w:t>
      </w:r>
      <w:r>
        <w:rPr>
          <w:color w:val="0200C9"/>
          <w:sz w:val="24"/>
          <w:szCs w:val="24"/>
        </w:rPr>
        <w:br/>
        <w:t xml:space="preserve">Healthy propagation material</w:t>
      </w:r>
      <w:r>
        <w:rPr>
          <w:color w:val="0200C9"/>
          <w:sz w:val="24"/>
          <w:szCs w:val="24"/>
        </w:rPr>
        <w:br/>
        <w:t xml:space="preserve">Healthy seed (rootstock seedlings)</w:t>
      </w:r>
      <w:r>
        <w:rPr>
          <w:color w:val="0200C9"/>
          <w:sz w:val="24"/>
          <w:szCs w:val="24"/>
        </w:rPr>
        <w:br/>
        <w:t xml:space="preserve">Reduction of fungal presence: Verticillium is very common when orchards are planted in soil formerly planted to susceptible row crops such as cotton, tomatoes, melons, etc. Avoid interplanting young orchards with these susceptible crop plants. Inoculum levels can be reduced by flooding in summer, solarizing the soil, growing several seasons of grass rotational crops (especially rye or sudangrass), or a combination of these treatments. When replanting in an area where susceptible perennials were previously grown, try to remove as many roots of the previous crop as possible. Fumigating with chloropicrin before planting will reduce inoculum (UC IPM, 2023).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is a significant pathway compared to infection from soil.</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Gubler WD (1995). Verticillium wilt. In Compendium of stone fruit diseases (eds Ogawa JM, Zehr EI, Bird GW, Ritchie DF, Uriu K &amp; Uyemoto JK). American Phytopathological Society, St Paul, MN, USA. pages 40-41,</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06922">
    <w:multiLevelType w:val="hybridMultilevel"/>
    <w:lvl w:ilvl="0" w:tplc="38612747">
      <w:start w:val="1"/>
      <w:numFmt w:val="decimal"/>
      <w:lvlText w:val="%1."/>
      <w:lvlJc w:val="left"/>
      <w:pPr>
        <w:ind w:left="720" w:hanging="360"/>
      </w:pPr>
    </w:lvl>
    <w:lvl w:ilvl="1" w:tplc="38612747" w:tentative="1">
      <w:start w:val="1"/>
      <w:numFmt w:val="lowerLetter"/>
      <w:lvlText w:val="%2."/>
      <w:lvlJc w:val="left"/>
      <w:pPr>
        <w:ind w:left="1440" w:hanging="360"/>
      </w:pPr>
    </w:lvl>
    <w:lvl w:ilvl="2" w:tplc="38612747" w:tentative="1">
      <w:start w:val="1"/>
      <w:numFmt w:val="lowerRoman"/>
      <w:lvlText w:val="%3."/>
      <w:lvlJc w:val="right"/>
      <w:pPr>
        <w:ind w:left="2160" w:hanging="180"/>
      </w:pPr>
    </w:lvl>
    <w:lvl w:ilvl="3" w:tplc="38612747" w:tentative="1">
      <w:start w:val="1"/>
      <w:numFmt w:val="decimal"/>
      <w:lvlText w:val="%4."/>
      <w:lvlJc w:val="left"/>
      <w:pPr>
        <w:ind w:left="2880" w:hanging="360"/>
      </w:pPr>
    </w:lvl>
    <w:lvl w:ilvl="4" w:tplc="38612747" w:tentative="1">
      <w:start w:val="1"/>
      <w:numFmt w:val="lowerLetter"/>
      <w:lvlText w:val="%5."/>
      <w:lvlJc w:val="left"/>
      <w:pPr>
        <w:ind w:left="3600" w:hanging="360"/>
      </w:pPr>
    </w:lvl>
    <w:lvl w:ilvl="5" w:tplc="38612747" w:tentative="1">
      <w:start w:val="1"/>
      <w:numFmt w:val="lowerRoman"/>
      <w:lvlText w:val="%6."/>
      <w:lvlJc w:val="right"/>
      <w:pPr>
        <w:ind w:left="4320" w:hanging="180"/>
      </w:pPr>
    </w:lvl>
    <w:lvl w:ilvl="6" w:tplc="38612747" w:tentative="1">
      <w:start w:val="1"/>
      <w:numFmt w:val="decimal"/>
      <w:lvlText w:val="%7."/>
      <w:lvlJc w:val="left"/>
      <w:pPr>
        <w:ind w:left="5040" w:hanging="360"/>
      </w:pPr>
    </w:lvl>
    <w:lvl w:ilvl="7" w:tplc="38612747" w:tentative="1">
      <w:start w:val="1"/>
      <w:numFmt w:val="lowerLetter"/>
      <w:lvlText w:val="%8."/>
      <w:lvlJc w:val="left"/>
      <w:pPr>
        <w:ind w:left="5760" w:hanging="360"/>
      </w:pPr>
    </w:lvl>
    <w:lvl w:ilvl="8" w:tplc="38612747" w:tentative="1">
      <w:start w:val="1"/>
      <w:numFmt w:val="lowerRoman"/>
      <w:lvlText w:val="%9."/>
      <w:lvlJc w:val="right"/>
      <w:pPr>
        <w:ind w:left="6480" w:hanging="180"/>
      </w:pPr>
    </w:lvl>
  </w:abstractNum>
  <w:abstractNum w:abstractNumId="28906921">
    <w:multiLevelType w:val="hybridMultilevel"/>
    <w:lvl w:ilvl="0" w:tplc="87862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06921">
    <w:abstractNumId w:val="28906921"/>
  </w:num>
  <w:num w:numId="28906922">
    <w:abstractNumId w:val="289069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2205997" Type="http://schemas.microsoft.com/office/2011/relationships/commentsExtended" Target="commentsExtended.xml"/><Relationship Id="rId24106ab688f95a9c3"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