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dahliae (VERTDA)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Austria (2014); Belgium (2015); Bulgaria (1986); Croatia (2016); Cyprus (2011); Czech Republic (2011); Denmark (1986); France (1986); Germany (2012); Greece (2013); Greece/Kriti (2013); Hungary (1986); Italy (2007); Malta (2007); Netherlands (2018); Portugal (1986); Slovakia (2012); Slovenia (2017); Spain (2021)</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54646ab6891005973" w:history="1">
        <w:r>
          <w:rPr>
            <w:color w:val="606060"/>
            <w:sz w:val="24"/>
            <w:szCs w:val="24"/>
          </w:rPr>
          <w:t xml:space="preserve">https://gd.eppo.int/</w:t>
        </w:r>
      </w:hyperlink>
      <w:r>
        <w:rPr>
          <w:color w:val="606060"/>
          <w:sz w:val="24"/>
          <w:szCs w:val="24"/>
        </w:rPr>
        <w:t xml:space="preserve">). V. dahliae is present in most EU Member States (MSs), with the exception of Ireland (absent, no pest records) and Poland (absent/uncertain). The current status of V. dahliae in the MSs where the pathogen is known to occur ranges from “restricted distribution” to “widespread”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Inspection for ' Verticillium spp.' recommended in EPPO Standard PM 4-27 Pathogen-tested material of Malus, Pyrus and Cydonia.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Verticillium dahliae is a soil-borne fungus that causes Verticillium wilt diseases in an extremely wide host range of annual and perennial dicotyledonous plant. Its primary economic hosts include: artichoke, aubergine, bell pepper, cotton, hop, lettuce, mints (Mentha spp.), oilseed rape, olive, potato, strawberry and tomato (CABI, 2021); citrus and pome fruits, however, are the exception (Smith et al. 1988).</w:t>
      </w:r>
      <w:r>
        <w:rPr>
          <w:color w:val="0200C9"/>
          <w:sz w:val="24"/>
          <w:szCs w:val="24"/>
        </w:rPr>
        <w:br/>
        <w:t xml:space="preserve">Verticillium dahliae can survive for 14 years in soil as microsclerotia (form of resting spores) (Wilhelm, 1955), either free or embedded in plant debris, which are stimulated to germinate in response to root exudates (Mol, 1995). Infection of plants, both individuals and populations, is directly related to the inoculum density of microsclerotia in the soil (Pullman &amp; DeVay, 1982; Harris et al., 1996; Mol et al., 1996; Xiao &amp; Subbarao, 1998).</w:t>
      </w:r>
      <w:r>
        <w:rPr>
          <w:color w:val="0200C9"/>
          <w:sz w:val="24"/>
          <w:szCs w:val="24"/>
        </w:rPr>
        <w:br/>
        <w:t xml:space="preserve">Verticillium dahliae is seed transmitted (CABI, 2021)</w:t>
      </w:r>
      <w:r>
        <w:rPr>
          <w:color w:val="0200C9"/>
          <w:sz w:val="24"/>
          <w:szCs w:val="24"/>
        </w:rPr>
        <w:br/>
        <w:t xml:space="preserve">Verticillium dahliae can easily be dispersed by propagation material (nursery stock) of both herbaceous and woody hosts (e.g. Keykhasaber et al., 2018).</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Disease symptoms may comprise wilting, chlorosis, stunting, necrosis and vein clearing. Brown vascular discoloration may be observed in stem tissue cross-sections (Frandin &amp; Thomma, 2006). Symptoms of Verticillium wilt diseases can vary between hosts; thus, there are no unique symptoms that develop on all plants infected by V. dahliae (Fradin &amp; Thomma, 2006). Moreover, symptoms can vary depending upon strains (pathotypes) of the pathogen (Korolev et al., 2008; Jiménez-Díaz et al., 2012; cited in EFSA, 2014).</w:t>
      </w:r>
      <w:r>
        <w:rPr>
          <w:color w:val="F30000"/>
          <w:sz w:val="24"/>
          <w:szCs w:val="24"/>
        </w:rPr>
        <w:br/>
        <w:t xml:space="preserve">For pome fruits: diseases caused by Verticillium spp. are not mentioned in the crop compendium for disease in pome fruits of the American Phytopathological Society (Sutton et al., 2014), also Smith et al (1988) indicate that pome fruits seem to be the exception to susceptibility for Verticillium spp.</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Remark: no reason to consider possible unacceptable economic impact to other hosts with this species more than with another species which is not regulated at present.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economic impact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(2020) Verticillium dahliae (verticillium wilt), CABI Digital Library (Accessed 30/May/2024).</w:t>
      </w:r>
    </w:p>
    <w:p>
      <w:pPr>
        <w:numPr>
          <w:ilvl w:val="0"/>
          <w:numId w:val="1"/>
        </w:numPr>
        <w:spacing w:before="0" w:after="0" w:line="240" w:lineRule="auto"/>
        <w:jc w:val="left"/>
        <w:rPr>
          <w:color w:val="0200C9"/>
          <w:sz w:val="24"/>
          <w:szCs w:val="24"/>
        </w:rPr>
      </w:pPr>
      <w:r>
        <w:rPr>
          <w:color w:val="0200C9"/>
          <w:sz w:val="24"/>
          <w:szCs w:val="24"/>
        </w:rPr>
        <w:t xml:space="preserve">EFSA (2014) Scientific opinion on the pest categorisation of Verticillium dahliae Kleb.1. EFSA Panel on Plant Health (PLH). EFSA Journal 12(12), 3928, 54 pp.</w:t>
      </w:r>
    </w:p>
    <w:p>
      <w:pPr>
        <w:numPr>
          <w:ilvl w:val="0"/>
          <w:numId w:val="1"/>
        </w:numPr>
        <w:spacing w:before="0" w:after="0" w:line="240" w:lineRule="auto"/>
        <w:jc w:val="left"/>
        <w:rPr>
          <w:color w:val="0200C9"/>
          <w:sz w:val="24"/>
          <w:szCs w:val="24"/>
        </w:rPr>
      </w:pPr>
      <w:r>
        <w:rPr>
          <w:color w:val="0200C9"/>
          <w:sz w:val="24"/>
          <w:szCs w:val="24"/>
        </w:rPr>
        <w:t xml:space="preserve">Fradin EF &amp; Thomma BP (2006). Physiology and molecular aspects of Verticillium wilt diseases caused by V. dahliae and V. albo-atrum. Molecular Plant Pathology 7(2), 71-86. doi: 10.1111/j.1364-3703.2006.00323.x.</w:t>
      </w:r>
    </w:p>
    <w:p>
      <w:pPr>
        <w:numPr>
          <w:ilvl w:val="0"/>
          <w:numId w:val="1"/>
        </w:numPr>
        <w:spacing w:before="0" w:after="0" w:line="240" w:lineRule="auto"/>
        <w:jc w:val="left"/>
        <w:rPr>
          <w:color w:val="0200C9"/>
          <w:sz w:val="24"/>
          <w:szCs w:val="24"/>
        </w:rPr>
      </w:pPr>
      <w:r>
        <w:rPr>
          <w:color w:val="0200C9"/>
          <w:sz w:val="24"/>
          <w:szCs w:val="24"/>
        </w:rPr>
        <w:t xml:space="preserve">Harris DC &amp; Yang JR (1996). The relationship between the amount of Verticillium dahliae in soil and the incidence of strawberry wilt as a basis for disease risk prediction. Plant Pathology 45(1), 106-114.</w:t>
      </w:r>
    </w:p>
    <w:p>
      <w:pPr>
        <w:numPr>
          <w:ilvl w:val="0"/>
          <w:numId w:val="1"/>
        </w:numPr>
        <w:spacing w:before="0" w:after="0" w:line="240" w:lineRule="auto"/>
        <w:jc w:val="left"/>
        <w:rPr>
          <w:color w:val="0200C9"/>
          <w:sz w:val="24"/>
          <w:szCs w:val="24"/>
        </w:rPr>
      </w:pPr>
      <w:r>
        <w:rPr>
          <w:color w:val="0200C9"/>
          <w:sz w:val="24"/>
          <w:szCs w:val="24"/>
        </w:rPr>
        <w:t xml:space="preserve">Jiménez-Díaz RM, Cirulli M, Bubici G, Jiménez-Gasco MM, Antoniou PP &amp; Tjamos EC (2012). Verticillium wilt: a major threat to olive production. Current status and future prospects for its management. Plant Disease 96, 304–329.</w:t>
      </w:r>
    </w:p>
    <w:p>
      <w:pPr>
        <w:numPr>
          <w:ilvl w:val="0"/>
          <w:numId w:val="1"/>
        </w:numPr>
        <w:spacing w:before="0" w:after="0" w:line="240" w:lineRule="auto"/>
        <w:jc w:val="left"/>
        <w:rPr>
          <w:color w:val="0200C9"/>
          <w:sz w:val="24"/>
          <w:szCs w:val="24"/>
        </w:rPr>
      </w:pPr>
      <w:r>
        <w:rPr>
          <w:color w:val="0200C9"/>
          <w:sz w:val="24"/>
          <w:szCs w:val="24"/>
        </w:rPr>
        <w:t xml:space="preserve">Keykhasaber M., Thomma BPHJ &amp; Hiemstra JA (2018) Verticillium wilt caused by Verticillium dahliae in woody plants with emphasis on olive and shade trees. European Journal of Plant Pathology 150, 21-37.</w:t>
      </w:r>
    </w:p>
    <w:p>
      <w:pPr>
        <w:numPr>
          <w:ilvl w:val="0"/>
          <w:numId w:val="1"/>
        </w:numPr>
        <w:spacing w:before="0" w:after="0" w:line="240" w:lineRule="auto"/>
        <w:jc w:val="left"/>
        <w:rPr>
          <w:color w:val="0200C9"/>
          <w:sz w:val="24"/>
          <w:szCs w:val="24"/>
        </w:rPr>
      </w:pPr>
      <w:r>
        <w:rPr>
          <w:color w:val="0200C9"/>
          <w:sz w:val="24"/>
          <w:szCs w:val="24"/>
        </w:rPr>
        <w:t xml:space="preserve">Korolev N, Pérez-Artés E, Mercado-Blanco J, Bejarano-Alcázar J, Rodríguez-Jurado D, Jiménez-Díaz RM &amp;, Katan T &amp; Katan J (2008) Vegetative compatibility of cotton-defoliating Verticillium dahliae in Israel and its pathogenicity to various crop plants. European Journal of Plant Pathology 122, 603–617. DOI 10.1007/s10658-008-9330-1</w:t>
      </w:r>
    </w:p>
    <w:p>
      <w:pPr>
        <w:numPr>
          <w:ilvl w:val="0"/>
          <w:numId w:val="1"/>
        </w:numPr>
        <w:spacing w:before="0" w:after="0" w:line="240" w:lineRule="auto"/>
        <w:jc w:val="left"/>
        <w:rPr>
          <w:color w:val="0200C9"/>
          <w:sz w:val="24"/>
          <w:szCs w:val="24"/>
        </w:rPr>
      </w:pPr>
      <w:r>
        <w:rPr>
          <w:color w:val="0200C9"/>
          <w:sz w:val="24"/>
          <w:szCs w:val="24"/>
        </w:rPr>
        <w:t xml:space="preserve">Mol L, Halteren JM van, Scholte K &amp; Struik PC (1996). Effects of crop species, crop cultivars and isolates of Verticillium dahliae on the population of microsclerotia in the soil, and consequences for crop yield. Plant Pathology 45(2), 205-214.</w:t>
      </w:r>
    </w:p>
    <w:p>
      <w:pPr>
        <w:numPr>
          <w:ilvl w:val="0"/>
          <w:numId w:val="1"/>
        </w:numPr>
        <w:spacing w:before="0" w:after="0" w:line="240" w:lineRule="auto"/>
        <w:jc w:val="left"/>
        <w:rPr>
          <w:color w:val="0200C9"/>
          <w:sz w:val="24"/>
          <w:szCs w:val="24"/>
        </w:rPr>
      </w:pPr>
      <w:r>
        <w:rPr>
          <w:color w:val="0200C9"/>
          <w:sz w:val="24"/>
          <w:szCs w:val="24"/>
        </w:rPr>
        <w:t xml:space="preserve">Pullman GS &amp; DeVay JE (1982). Epidemiology of Verticillium wilt of cotton: a relationship between inoculum density and disease progression. Phytopathology 72(5), 549-554.</w:t>
      </w:r>
    </w:p>
    <w:p>
      <w:pPr>
        <w:numPr>
          <w:ilvl w:val="0"/>
          <w:numId w:val="1"/>
        </w:numPr>
        <w:spacing w:before="0" w:after="0" w:line="240" w:lineRule="auto"/>
        <w:jc w:val="left"/>
        <w:rPr>
          <w:color w:val="0200C9"/>
          <w:sz w:val="24"/>
          <w:szCs w:val="24"/>
        </w:rPr>
      </w:pPr>
      <w:r>
        <w:rPr>
          <w:color w:val="0200C9"/>
          <w:sz w:val="24"/>
          <w:szCs w:val="24"/>
        </w:rPr>
        <w:t xml:space="preserve">Smith IM, Dunez J, Phillips DH, Lelliot RA &amp; Archer SA (eds) (1988) European handbook of diseases: Verticillium dahlia Kleb. and Verticillium albo-atrum Reinke &amp; Berthold. Blackwell Scientific Publications Oxford, UK. 299-302.</w:t>
      </w:r>
    </w:p>
    <w:p>
      <w:pPr>
        <w:numPr>
          <w:ilvl w:val="0"/>
          <w:numId w:val="1"/>
        </w:numPr>
        <w:spacing w:before="0" w:after="0" w:line="240" w:lineRule="auto"/>
        <w:jc w:val="left"/>
        <w:rPr>
          <w:color w:val="0200C9"/>
          <w:sz w:val="24"/>
          <w:szCs w:val="24"/>
        </w:rPr>
      </w:pPr>
      <w:r>
        <w:rPr>
          <w:color w:val="0200C9"/>
          <w:sz w:val="24"/>
          <w:szCs w:val="24"/>
        </w:rPr>
        <w:t xml:space="preserve">Sutton TB, Aldwinckle HS, Agnello AM &amp; Walgenbach JF (2014). Compendium of Apple and Pear Diseases and Pests 2nd edition. American Phytopathological Society, St Paul, MN, USA</w:t>
      </w:r>
    </w:p>
    <w:p>
      <w:pPr>
        <w:numPr>
          <w:ilvl w:val="0"/>
          <w:numId w:val="1"/>
        </w:numPr>
        <w:spacing w:before="0" w:after="0" w:line="240" w:lineRule="auto"/>
        <w:jc w:val="left"/>
        <w:rPr>
          <w:color w:val="0200C9"/>
          <w:sz w:val="24"/>
          <w:szCs w:val="24"/>
        </w:rPr>
      </w:pPr>
      <w:r>
        <w:rPr>
          <w:color w:val="0200C9"/>
          <w:sz w:val="24"/>
          <w:szCs w:val="24"/>
        </w:rPr>
        <w:t xml:space="preserve">Wilhelm S (1955) Longevity of Verticillium wilt fungus in the laboratory and the field. Phytopathology 45, 180-181.</w:t>
      </w:r>
    </w:p>
    <w:p>
      <w:pPr>
        <w:numPr>
          <w:ilvl w:val="0"/>
          <w:numId w:val="1"/>
        </w:numPr>
        <w:spacing w:before="0" w:after="0" w:line="240" w:lineRule="auto"/>
        <w:jc w:val="left"/>
        <w:rPr>
          <w:color w:val="0200C9"/>
          <w:sz w:val="24"/>
          <w:szCs w:val="24"/>
        </w:rPr>
      </w:pPr>
      <w:r>
        <w:rPr>
          <w:color w:val="0200C9"/>
          <w:sz w:val="24"/>
          <w:szCs w:val="24"/>
        </w:rPr>
        <w:t xml:space="preserve">Xiao CL &amp; Subbarao KV (1998). Relationships between Verticillium dahliae inoculum density and wilt incidence, severity, and growth of cauliflower. Phytopathology 88(10), 1108-1115.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929500">
    <w:multiLevelType w:val="hybridMultilevel"/>
    <w:lvl w:ilvl="0" w:tplc="28918040">
      <w:start w:val="1"/>
      <w:numFmt w:val="decimal"/>
      <w:lvlText w:val="%1."/>
      <w:lvlJc w:val="left"/>
      <w:pPr>
        <w:ind w:left="720" w:hanging="360"/>
      </w:pPr>
    </w:lvl>
    <w:lvl w:ilvl="1" w:tplc="28918040" w:tentative="1">
      <w:start w:val="1"/>
      <w:numFmt w:val="lowerLetter"/>
      <w:lvlText w:val="%2."/>
      <w:lvlJc w:val="left"/>
      <w:pPr>
        <w:ind w:left="1440" w:hanging="360"/>
      </w:pPr>
    </w:lvl>
    <w:lvl w:ilvl="2" w:tplc="28918040" w:tentative="1">
      <w:start w:val="1"/>
      <w:numFmt w:val="lowerRoman"/>
      <w:lvlText w:val="%3."/>
      <w:lvlJc w:val="right"/>
      <w:pPr>
        <w:ind w:left="2160" w:hanging="180"/>
      </w:pPr>
    </w:lvl>
    <w:lvl w:ilvl="3" w:tplc="28918040" w:tentative="1">
      <w:start w:val="1"/>
      <w:numFmt w:val="decimal"/>
      <w:lvlText w:val="%4."/>
      <w:lvlJc w:val="left"/>
      <w:pPr>
        <w:ind w:left="2880" w:hanging="360"/>
      </w:pPr>
    </w:lvl>
    <w:lvl w:ilvl="4" w:tplc="28918040" w:tentative="1">
      <w:start w:val="1"/>
      <w:numFmt w:val="lowerLetter"/>
      <w:lvlText w:val="%5."/>
      <w:lvlJc w:val="left"/>
      <w:pPr>
        <w:ind w:left="3600" w:hanging="360"/>
      </w:pPr>
    </w:lvl>
    <w:lvl w:ilvl="5" w:tplc="28918040" w:tentative="1">
      <w:start w:val="1"/>
      <w:numFmt w:val="lowerRoman"/>
      <w:lvlText w:val="%6."/>
      <w:lvlJc w:val="right"/>
      <w:pPr>
        <w:ind w:left="4320" w:hanging="180"/>
      </w:pPr>
    </w:lvl>
    <w:lvl w:ilvl="6" w:tplc="28918040" w:tentative="1">
      <w:start w:val="1"/>
      <w:numFmt w:val="decimal"/>
      <w:lvlText w:val="%7."/>
      <w:lvlJc w:val="left"/>
      <w:pPr>
        <w:ind w:left="5040" w:hanging="360"/>
      </w:pPr>
    </w:lvl>
    <w:lvl w:ilvl="7" w:tplc="28918040" w:tentative="1">
      <w:start w:val="1"/>
      <w:numFmt w:val="lowerLetter"/>
      <w:lvlText w:val="%8."/>
      <w:lvlJc w:val="left"/>
      <w:pPr>
        <w:ind w:left="5760" w:hanging="360"/>
      </w:pPr>
    </w:lvl>
    <w:lvl w:ilvl="8" w:tplc="28918040" w:tentative="1">
      <w:start w:val="1"/>
      <w:numFmt w:val="lowerRoman"/>
      <w:lvlText w:val="%9."/>
      <w:lvlJc w:val="right"/>
      <w:pPr>
        <w:ind w:left="6480" w:hanging="180"/>
      </w:pPr>
    </w:lvl>
  </w:abstractNum>
  <w:abstractNum w:abstractNumId="38929499">
    <w:multiLevelType w:val="hybridMultilevel"/>
    <w:lvl w:ilvl="0" w:tplc="461802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929499">
    <w:abstractNumId w:val="38929499"/>
  </w:num>
  <w:num w:numId="38929500">
    <w:abstractNumId w:val="389295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30347793" Type="http://schemas.microsoft.com/office/2011/relationships/commentsExtended" Target="commentsExtended.xml"/><Relationship Id="rId54646ab6891005973"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