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 For this reason the evaluation of the pest continues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(2019); Estonia (1986); Finland (2011); France (1993); Germany (1993); Greece (1986); Greece/Kriti (1986); Hungary (1988); Ireland (1986); Italy (1986); Italy/Sicilia (1986); Italy/Sardegna (1986); Latvia (1986); Lithuania (1986); Luxembourg (1992); Netherlands (2022); Poland (1986); Portugal (1986); Romania (1986); Slovenia (2017); Spain (2021); Sweden (1988)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016a3fbb69586ec"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citrus and pome fruits, however, are the exception (Smith et al.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For pome fruits diseases caused by Verticillium spp. are not mentioned in the crop compendium for disease in pome fruits of the American Phytopathological Society,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Pyrus was not an important host. Although Verticillium species can cause dieback, SI considered that infections of Pyrus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37136a3fbb6958b37"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336690">
    <w:multiLevelType w:val="hybridMultilevel"/>
    <w:lvl w:ilvl="0" w:tplc="32089117">
      <w:start w:val="1"/>
      <w:numFmt w:val="decimal"/>
      <w:lvlText w:val="%1."/>
      <w:lvlJc w:val="left"/>
      <w:pPr>
        <w:ind w:left="720" w:hanging="360"/>
      </w:pPr>
    </w:lvl>
    <w:lvl w:ilvl="1" w:tplc="32089117" w:tentative="1">
      <w:start w:val="1"/>
      <w:numFmt w:val="lowerLetter"/>
      <w:lvlText w:val="%2."/>
      <w:lvlJc w:val="left"/>
      <w:pPr>
        <w:ind w:left="1440" w:hanging="360"/>
      </w:pPr>
    </w:lvl>
    <w:lvl w:ilvl="2" w:tplc="32089117" w:tentative="1">
      <w:start w:val="1"/>
      <w:numFmt w:val="lowerRoman"/>
      <w:lvlText w:val="%3."/>
      <w:lvlJc w:val="right"/>
      <w:pPr>
        <w:ind w:left="2160" w:hanging="180"/>
      </w:pPr>
    </w:lvl>
    <w:lvl w:ilvl="3" w:tplc="32089117" w:tentative="1">
      <w:start w:val="1"/>
      <w:numFmt w:val="decimal"/>
      <w:lvlText w:val="%4."/>
      <w:lvlJc w:val="left"/>
      <w:pPr>
        <w:ind w:left="2880" w:hanging="360"/>
      </w:pPr>
    </w:lvl>
    <w:lvl w:ilvl="4" w:tplc="32089117" w:tentative="1">
      <w:start w:val="1"/>
      <w:numFmt w:val="lowerLetter"/>
      <w:lvlText w:val="%5."/>
      <w:lvlJc w:val="left"/>
      <w:pPr>
        <w:ind w:left="3600" w:hanging="360"/>
      </w:pPr>
    </w:lvl>
    <w:lvl w:ilvl="5" w:tplc="32089117" w:tentative="1">
      <w:start w:val="1"/>
      <w:numFmt w:val="lowerRoman"/>
      <w:lvlText w:val="%6."/>
      <w:lvlJc w:val="right"/>
      <w:pPr>
        <w:ind w:left="4320" w:hanging="180"/>
      </w:pPr>
    </w:lvl>
    <w:lvl w:ilvl="6" w:tplc="32089117" w:tentative="1">
      <w:start w:val="1"/>
      <w:numFmt w:val="decimal"/>
      <w:lvlText w:val="%7."/>
      <w:lvlJc w:val="left"/>
      <w:pPr>
        <w:ind w:left="5040" w:hanging="360"/>
      </w:pPr>
    </w:lvl>
    <w:lvl w:ilvl="7" w:tplc="32089117" w:tentative="1">
      <w:start w:val="1"/>
      <w:numFmt w:val="lowerLetter"/>
      <w:lvlText w:val="%8."/>
      <w:lvlJc w:val="left"/>
      <w:pPr>
        <w:ind w:left="5760" w:hanging="360"/>
      </w:pPr>
    </w:lvl>
    <w:lvl w:ilvl="8" w:tplc="32089117" w:tentative="1">
      <w:start w:val="1"/>
      <w:numFmt w:val="lowerRoman"/>
      <w:lvlText w:val="%9."/>
      <w:lvlJc w:val="right"/>
      <w:pPr>
        <w:ind w:left="6480" w:hanging="180"/>
      </w:pPr>
    </w:lvl>
  </w:abstractNum>
  <w:abstractNum w:abstractNumId="89336689">
    <w:multiLevelType w:val="hybridMultilevel"/>
    <w:lvl w:ilvl="0" w:tplc="954353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336689">
    <w:abstractNumId w:val="89336689"/>
  </w:num>
  <w:num w:numId="89336690">
    <w:abstractNumId w:val="893366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0593415" Type="http://schemas.microsoft.com/office/2011/relationships/commentsExtended" Target="commentsExtended.xml"/><Relationship Id="rId18016a3fbb69586ec" Type="http://schemas.openxmlformats.org/officeDocument/2006/relationships/hyperlink" Target="https://gd.eppo.int/" TargetMode="External"/><Relationship Id="rId37136a3fbb6958b37" Type="http://schemas.openxmlformats.org/officeDocument/2006/relationships/hyperlink" Target="https://doi.org/10.1079/cabicompendium.562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