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controversa (TILLCO)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Tilletia controversa is closely related to T. caries (syn. T. tritici) and T. laevis. The species can readily hybridize together (Bockus et al., 2010; CABI, 2020).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(2011); Germany (2020); Greece (1992); Hungary (2012); Italy (1992); Latvia (2007); Luxembourg (1988); Poland (2019); Romania (1992); Slovakia (1998); Slovenia (1995); Sweden (2021)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216a04252938296" w:history="1">
        <w:r>
          <w:rPr>
            <w:color w:val="0200C9"/>
            <w:sz w:val="24"/>
            <w:szCs w:val="24"/>
          </w:rPr>
          <w:t xml:space="preserve">https://gd.eppo.int/</w:t>
        </w:r>
      </w:hyperlink>
      <w:r>
        <w:rPr>
          <w:color w:val="0200C9"/>
          <w:sz w:val="24"/>
          <w:szCs w:val="24"/>
        </w:rPr>
        <w:t xml:space="preserve">). It is considered that, very probably, T. controversa has already reached the limits of its potential natural distribution in the EPPO region (CABI, 2021).</w:t>
      </w:r>
      <w:r>
        <w:rPr>
          <w:color w:val="0200C9"/>
          <w:sz w:val="24"/>
          <w:szCs w:val="24"/>
        </w:rPr>
        <w:br/>
        <w:t xml:space="preserve">Remarks: In Germany, the pest is not reported every years, and was not reported during years 1984-1996 (EPPO Reporting Service 1996/29). It was reported having a restricted distribution (EPPO Reporting Service 1998/203). Rudloff et al. (2020) reports that the pest is mainly in the southern part of Germany, in organic production, and at low incidence in conventional fields in Northern Germany in 2016-2017. Use of seed and perhaps plant treatments with fungicides (triazole on the soil surface) may have been responsible for such different situations reported. The disease is not observed in France under the present surveillance effort. Same situation may occur in Denmark, Spain, Portugal and the United Kingdom according to EPPO Global Database (Delos, pers. comm.,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Natural infection of hosts other than wheat is less common (Bockus et al., 2010). In addition to Triticum aestivum (wheat, especially winter wheat), xTriticosecale and Triticum turgidum spp. durum are also main hosts of Tilletia controversa (Vánky, 2012). Consequently, experts considered that (at least) these additional pest/host combinations should be assessed for the RNQP status.</w:t>
      </w:r>
      <w:r>
        <w:rPr>
          <w:color w:val="0200C9"/>
          <w:sz w:val="24"/>
          <w:szCs w:val="24"/>
        </w:rPr>
        <w:br/>
        <w:br/>
        <w:t xml:space="preserve">T. controversa also infects Secale cereal (winter-sown rye), Hordeum vulgare (winter-sown barley), and various wild and cultivated grasses after artificial inoculation. These last hosts may not be relevant for RNQP regulation, but can be regulated at export by third countries for quarantine aspects.</w:t>
      </w:r>
      <w:r>
        <w:rPr>
          <w:color w:val="0200C9"/>
          <w:sz w:val="24"/>
          <w:szCs w:val="24"/>
        </w:rPr>
        <w:br/>
        <w:t xml:space="preserve">Movement of wheat seed is a pathway since spores adhering the seed can contaminate uninfested soil, but the disease is only induced with this pathway when heavily infested seeds are planted. Ustilospores are also spread by wind on hundreds of kilometers and can contaminate soil but seems to play a relatively limited role in epidemics thanks to crop rotation (except for situations with organic wheat when the previous wheat crops were contaminated). The fungus can survive for up to 10 years in soil, germinating under a temperature optimum of 0-8°C (lower than for the common bunt), typically after preconditioning exposure to light, which conditions are found under persistent snow cover during 3-10 weeks. Temperature over 15°C inhibits spore germination (Bockus et al., 2010; CABI, 2021). However, in the last few years T. controversa and hybrids of T. caries x T. controversa were reported in regions, which would normally be too warm and mild for the pathogen. As winters aren‘t so cold anymore the pathogen finds optimum temperatures over longer periods without snow cover and is reported to grow in new regions (Thüringer, pers. comm, 2024). Contrary to common bunt, infection of winter wheat by T. controversa does not occur during seed germination to seedling emergence, but only after the seedling is well established. Therefore, seed is considered as a significative pathway compared to other, only under high inoculum density. Harvesters and other machinery passing from a contaminated production site to a pest-free one, as well as seed handling equipment, are also source of contamination (Bockus et al., 2010; CABI, 2021).</w:t>
      </w:r>
      <w:r>
        <w:rPr>
          <w:color w:val="0200C9"/>
          <w:sz w:val="24"/>
          <w:szCs w:val="24"/>
        </w:rPr>
        <w:br/>
        <w:br/>
        <w:t xml:space="preserve">Experts considered that seed should be an important pathway for a grower not previously contaminated by the disease. In Austria, infections are sometimes reported in completely new regions and infections assumed to have been with seeds (Thüringer, pers. comm., 2024).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Dwarf bunt is a serious disease, particularly of winter wheat at relatively high altitudes, and more recently in new regions which would normally be too warm and mild for the pathogen (see Pathway). It is very difficult to control because of the resistant resting spores which remain viable in the soil for a number of years. In the 1970s, the disease was reported to be of great economic importance in the EPPO region in Austria, Poland and the former USSR and of less economic importance in the other countries in which it is established (CABI, 2021). In Germany, losses of up to 30% have been reported (Murray &amp; Wright, 2007). Dwarf bunt has the same effect on wheat quality as common bunt. If visually detected, the wheat would be unacceptable for human consumption and thus be downgraded to feed quality. The difference in value depends on the related market value of the grades, but feed wheat usually trades at 30–50% of the value of human consumption grades (Murray &amp; Wright, 2007). Present yield losses in most countries where dwarf bunt occurs are minimal due to the effectiveness of current controls (modern seed fungicides). Recent reports of impact mostly relate to the production for organic farming. Similarly, organic farming had established specific thresholds few years ago for common bunt to manage the disease on seed.</w:t>
      </w:r>
      <w:r>
        <w:rPr>
          <w:color w:val="0200C9"/>
          <w:sz w:val="24"/>
          <w:szCs w:val="24"/>
        </w:rPr>
        <w:br/>
        <w:t xml:space="preserve">Pest presence may cause additional impact for export of wheat and barley because T. controversa is a quarantine pest for many third countries.</w:t>
      </w:r>
      <w:r>
        <w:rPr>
          <w:color w:val="0200C9"/>
          <w:sz w:val="24"/>
          <w:szCs w:val="24"/>
        </w:rPr>
        <w:br/>
        <w:t xml:space="preserve">Remark: Tilletia controversa may survive longer in the soil than T. laevis or T. controversa, and is considered more difficult to control with rotation.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Dwarf bunt is primarily controlled by using resistant cultivars to particular races. At least 15 major resistance (Bt) genes have been identified in wheat and these genes influence host resistance to both dwarf bunt and common bunt (Bockus et al., 2010).</w:t>
      </w:r>
      <w:r>
        <w:rPr>
          <w:color w:val="0200C9"/>
          <w:sz w:val="24"/>
          <w:szCs w:val="24"/>
        </w:rPr>
        <w:br/>
        <w:t xml:space="preserve">Because T. controversa infests plants after emergence, most fungicide seed treatments used for the control of common bunt are not effective against dwarf bunt. Active substances such as difenoconazole, systemic triazoles, SDHI or QOI fungicides, when applied in the field on susceptible wheat varieties, are effective against T. controversa and several other smut pathogens (Bockus et al., 2010; Delos, pers. comm., 2024). Contact fungicides such as Mancozeb are no longer authorized in the EU and the limited number of products available for organic farming is causing difficulties for pest management in organic farming.</w:t>
      </w:r>
      <w:r>
        <w:rPr>
          <w:color w:val="0200C9"/>
          <w:sz w:val="24"/>
          <w:szCs w:val="24"/>
        </w:rP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T. caries infection when seeds are sown with a certain infection level, at different locations and for different varieties; and then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sown under greenhouse and field conditions (</w:t>
      </w:r>
      <w:hyperlink r:id="rId51856a042529386fd"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color w:val="0200C9"/>
          <w:sz w:val="24"/>
          <w:szCs w:val="24"/>
        </w:rPr>
        <w:br/>
        <w:br/>
        <w:t xml:space="preserve">National situation and regulation for Tilletia spp. is highly dependant on the importance of organic wheat seed production at national level.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controversa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discussed the available treatments for organic production. Contrary to T. caries and T. laevis, there are no fungicide organic seed treatments with demonstrated efficacy against T. controversa. Experts considered that seed brushing should only be used to achieve option (a). Brushing may be about 70–80% effective on seed-borne spores.</w:t>
      </w:r>
      <w:r>
        <w:rPr>
          <w:color w:val="0200C9"/>
          <w:sz w:val="24"/>
          <w:szCs w:val="24"/>
        </w:rPr>
        <w:br/>
        <w:t xml:space="preserve">Consequently, if there is an infection higher than 5-10 (viable) spores/seed it is not possible to sell the lot as organic seed anymore. The only option is to treat it with a conventional seed treatment, then it can be sold as conventional seed.</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48206a04252938dc2"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12616a04252938df2"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99706a04252938e16"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83946a04252938e4d"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CABI (2021) CABI Datasheet on Tilletia controversa. CABI Compendium. Available at </w:t>
      </w:r>
      <w:hyperlink r:id="rId57126a04252938e6f" w:history="1">
        <w:r>
          <w:rPr>
            <w:color w:val="0200C9"/>
            <w:sz w:val="24"/>
            <w:szCs w:val="24"/>
          </w:rPr>
          <w:t xml:space="preserve">https://doi.org/10.1079/cabicompendium.53924</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60606a04252938e90"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84756a04252938eb2"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Murray GM &amp; Wright DG (2007) National Contingency Plan for Tilletia controversa, the Cause of Dwarf Bunt of Wheat. Part I: Pest Risk Assessment‘. Plant Health Australia, Canberra, ACT, Australia. vi + 16 pp</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Vánky K (2012) Smut Fungi of the world (p.881). ISBN: 9780890543986. Dec 2012.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86045">
    <w:multiLevelType w:val="hybridMultilevel"/>
    <w:lvl w:ilvl="0" w:tplc="64351582">
      <w:start w:val="1"/>
      <w:numFmt w:val="decimal"/>
      <w:lvlText w:val="%1."/>
      <w:lvlJc w:val="left"/>
      <w:pPr>
        <w:ind w:left="720" w:hanging="360"/>
      </w:pPr>
    </w:lvl>
    <w:lvl w:ilvl="1" w:tplc="64351582" w:tentative="1">
      <w:start w:val="1"/>
      <w:numFmt w:val="lowerLetter"/>
      <w:lvlText w:val="%2."/>
      <w:lvlJc w:val="left"/>
      <w:pPr>
        <w:ind w:left="1440" w:hanging="360"/>
      </w:pPr>
    </w:lvl>
    <w:lvl w:ilvl="2" w:tplc="64351582" w:tentative="1">
      <w:start w:val="1"/>
      <w:numFmt w:val="lowerRoman"/>
      <w:lvlText w:val="%3."/>
      <w:lvlJc w:val="right"/>
      <w:pPr>
        <w:ind w:left="2160" w:hanging="180"/>
      </w:pPr>
    </w:lvl>
    <w:lvl w:ilvl="3" w:tplc="64351582" w:tentative="1">
      <w:start w:val="1"/>
      <w:numFmt w:val="decimal"/>
      <w:lvlText w:val="%4."/>
      <w:lvlJc w:val="left"/>
      <w:pPr>
        <w:ind w:left="2880" w:hanging="360"/>
      </w:pPr>
    </w:lvl>
    <w:lvl w:ilvl="4" w:tplc="64351582" w:tentative="1">
      <w:start w:val="1"/>
      <w:numFmt w:val="lowerLetter"/>
      <w:lvlText w:val="%5."/>
      <w:lvlJc w:val="left"/>
      <w:pPr>
        <w:ind w:left="3600" w:hanging="360"/>
      </w:pPr>
    </w:lvl>
    <w:lvl w:ilvl="5" w:tplc="64351582" w:tentative="1">
      <w:start w:val="1"/>
      <w:numFmt w:val="lowerRoman"/>
      <w:lvlText w:val="%6."/>
      <w:lvlJc w:val="right"/>
      <w:pPr>
        <w:ind w:left="4320" w:hanging="180"/>
      </w:pPr>
    </w:lvl>
    <w:lvl w:ilvl="6" w:tplc="64351582" w:tentative="1">
      <w:start w:val="1"/>
      <w:numFmt w:val="decimal"/>
      <w:lvlText w:val="%7."/>
      <w:lvlJc w:val="left"/>
      <w:pPr>
        <w:ind w:left="5040" w:hanging="360"/>
      </w:pPr>
    </w:lvl>
    <w:lvl w:ilvl="7" w:tplc="64351582" w:tentative="1">
      <w:start w:val="1"/>
      <w:numFmt w:val="lowerLetter"/>
      <w:lvlText w:val="%8."/>
      <w:lvlJc w:val="left"/>
      <w:pPr>
        <w:ind w:left="5760" w:hanging="360"/>
      </w:pPr>
    </w:lvl>
    <w:lvl w:ilvl="8" w:tplc="64351582" w:tentative="1">
      <w:start w:val="1"/>
      <w:numFmt w:val="lowerRoman"/>
      <w:lvlText w:val="%9."/>
      <w:lvlJc w:val="right"/>
      <w:pPr>
        <w:ind w:left="6480" w:hanging="180"/>
      </w:pPr>
    </w:lvl>
  </w:abstractNum>
  <w:abstractNum w:abstractNumId="34886044">
    <w:multiLevelType w:val="hybridMultilevel"/>
    <w:lvl w:ilvl="0" w:tplc="34665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86044">
    <w:abstractNumId w:val="34886044"/>
  </w:num>
  <w:num w:numId="34886045">
    <w:abstractNumId w:val="348860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828023" Type="http://schemas.microsoft.com/office/2011/relationships/commentsExtended" Target="commentsExtended.xml"/><Relationship Id="rId90216a04252938296" Type="http://schemas.openxmlformats.org/officeDocument/2006/relationships/hyperlink" Target="https://gd.eppo.int/" TargetMode="External"/><Relationship Id="rId51856a042529386fd" Type="http://schemas.openxmlformats.org/officeDocument/2006/relationships/hyperlink" Target="https://www.eppo.int/media/uploaded_images/MEETINGS/Meetings_2015/testa_angers/07_Orgeur.pdf" TargetMode="External"/><Relationship Id="rId48206a04252938dc2" Type="http://schemas.openxmlformats.org/officeDocument/2006/relationships/hyperlink" Target="https://dafne.at/content/report_release/bc582bd9-3d39-4077-b287-ba35e9f51b6d_0.pdf" TargetMode="External"/><Relationship Id="rId12616a04252938df2" Type="http://schemas.openxmlformats.org/officeDocument/2006/relationships/hyperlink" Target="http://www.saatgut-austria.at/MEDIA/67%20Tagungsband%20Gumpenstein%202017.pdf" TargetMode="External"/><Relationship Id="rId99706a04252938e16" Type="http://schemas.openxmlformats.org/officeDocument/2006/relationships/hyperlink" Target="https://www.arvalis.fr/infos-techniques/les-traitements-de-semences-indispensable-pour-la-protection-contre-la-carie" TargetMode="External"/><Relationship Id="rId83946a04252938e4d" Type="http://schemas.openxmlformats.org/officeDocument/2006/relationships/hyperlink" Target="https://doi.org/10.1079/cabicompendium.53923" TargetMode="External"/><Relationship Id="rId57126a04252938e6f" Type="http://schemas.openxmlformats.org/officeDocument/2006/relationships/hyperlink" Target="https://doi.org/10.1079/cabicompendium.53924" TargetMode="External"/><Relationship Id="rId60606a04252938e90" Type="http://schemas.openxmlformats.org/officeDocument/2006/relationships/hyperlink" Target="https://livre-blanc-cereales.be/thematiques/maladies/froment/thematiques-maladies-froment-carie/" TargetMode="External"/><Relationship Id="rId84756a04252938eb2"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