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caries (TILLCA)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common bunt of wheat is caused by two closely related smut fungi, Tilletia caries (syn. T. tritici) and T. laevis, which readily hybridize together and with T. controversa (CABI, 2020). The reticulate-spored common bunt pathogen is referred to as both T. caries and T. tritici in the literature. The nomenclatural confusion is due to in part to the controversial first account of this smut, but T. caries is the correct name (Bockus et al, 2010).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(1990); Bulgaria (1993); Cyprus (1990); Czech Republic (2011); Denmark (1993); Estonia (1990); Finland (2011); France (1990); Germany (1993); Greece (1994); Greece/Kriti (1994); Ireland (1990); Italy (1990); Latvia (1990); Lithuania (1990); Netherlands (1990); Poland (1990); Portugal (1993); Romania (1990); Spain (1990);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556a3fbbd8b572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aestivum (including e.g. Triticum aestivum subsp. aestivum: wheat, and Triticum aestivum subsp. spelta: spelt wheat) is the mainly impacted host plant (Balau &amp; Ulea, 2015; CABI, 2020). Experts noted that T. turgidum ssp. durum, x Triticosecale and Secale cereale are also main hosts of Tilletia caries (Vánky, 2012). Additional hosts are reported. Consequently, experts considered that additional pest/host combinations should be assessed for the RNQP status.</w:t>
      </w:r>
      <w:r>
        <w:rPr>
          <w:color w:val="0200C9"/>
          <w:sz w:val="24"/>
          <w:szCs w:val="24"/>
        </w:rPr>
        <w:br/>
        <w:br/>
        <w:t xml:space="preserve">Movement of wheat seed is a pathway. Ustilospores are also spread by wind on hundreds of kilometers and can contaminate soil. The fungus can survive for many years in soil and no diagnostic tests are available for detection in soil before sowing. Germination occurs over a wide temperature range, being most rapid at 18-20°C. When germinating, ustilospores can infect healthy seedlings. Control by seed treatments allowed to readily decrease the infection pressure to a low level over the world; making seed being a significant pathway. Harvesters and other machinery passing from a contaminated production site to a pest-free one, as well as seed handling equipment, are also source of contamination (ARVALIS, 2023; CABI, 2020).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of common bunt is considerable since the presence of spores on harvested grain leads to it being downgraded. Each infected grain is a lost grain. Untreated, common bunt can destroy more than 50% of grain, but losses are usually 5-10%. It produces an unpleasant odour which is passed on to the flour. This odour can also be a problem when feeding livestock feed (palatability). T. aestivum is mainly impacted by T. caries, but the fungus can also infect other cereals such as T. durum, T. monococcum etc. The reduced market value of contaminated grain was estimated at 32% of the value of sound grain in Australia. This disease has declined with the widespread use of effective fungicidal seed treatments, but it is still reported to be present in many EPPO countries (ARVALIS, 2023; CABI, 2019; 2020). More recently, common bunt has re-emerged in low-input and organic wheat, most notably in northern and western Europe (Matanguihan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is readily controlled by seed treatments (ARVALIS, 2023). Recent increases in incidence of bunt (e.g. in Nordic countries) were attributed to the banning of certain seed treatments and an apparent decline in the use of other seed treatments (CABI, 2020).</w:t>
      </w:r>
      <w:r>
        <w:rPr>
          <w:color w:val="0200C9"/>
          <w:sz w:val="24"/>
          <w:szCs w:val="24"/>
        </w:rPr>
        <w:br/>
        <w:br/>
        <w:t xml:space="preserve">In organic farming, a limited range of effective seed treatments is available. Some measures, e.g. use of antagonists such as Pseudomonas chlororaphis, have a significant but irregular efficacy on infected seeds (ARVALIS, 2023; Fontaine et al., 2013). In Austria, it is the only registered seed treatment for organic seeds, and irregular efficacy seems to be mostly connected to incorrect storage (It is crucial that the Pseudomonas chlororaphis product is cooled until seeds are treated. After treatment, efficacy on the product is guaranteed by the company for one year. But, if the product is stored only for a short period uncooled, it already has a great efficacy) (AGES, 2021). In the European Union, a treatment with white vinegar is also possible (not used in AT, but used in FR and DK). Trials showed a similar efficacy to the Pseudomonas product (AGES, 2021).</w:t>
      </w:r>
      <w:r>
        <w:rPr>
          <w:color w:val="0200C9"/>
          <w:sz w:val="24"/>
          <w:szCs w:val="24"/>
        </w:rPr>
        <w:br/>
        <w:t xml:space="preserve">Cultivars showing resistance to a particular races can be used. However, the differentiation between susceptible/unsusceptible or resistant cultivars isn‘t easy and may also depend on the Tilletia caries races. There are so many different races that if only one race overcomes the resistance or isn‘t included, the protection is not enough anymore. In some countries resistance of widely used cultivars had already been broken (e.g. in AT), or breeding focuses more on other diseases (e.g. rust and Septoria in FR).</w:t>
      </w:r>
      <w:r>
        <w:rPr>
          <w:color w:val="0200C9"/>
          <w:sz w:val="24"/>
          <w:szCs w:val="24"/>
        </w:rPr>
        <w:br/>
        <w:t xml:space="preserve">Seed testing may also be used with hot water treatments, when inoculum level exceeded a certain threshold (CABI, 2020).</w:t>
      </w:r>
      <w:r>
        <w:rPr>
          <w:color w:val="0200C9"/>
          <w:sz w:val="24"/>
          <w:szCs w:val="24"/>
        </w:rPr>
        <w:br/>
        <w:t xml:space="preserve">Copper is authorized on wheat seeds until 2025-09-28 and new authorizations as seed treatments will be possible in the next years in FR (Delos, pers. comm.).</w:t>
      </w:r>
      <w:r>
        <w:rPr>
          <w:color w:val="0200C9"/>
          <w:sz w:val="24"/>
          <w:szCs w:val="24"/>
        </w:rPr>
        <w:br/>
        <w:t xml:space="preserve">Seed treatment with mustard seed powder is authorized in BE (and in the EU) as basic substance since 2017.</w:t>
      </w:r>
      <w:r>
        <w:rPr>
          <w:color w:val="0200C9"/>
          <w:sz w:val="24"/>
          <w:szCs w:val="24"/>
        </w:rPr>
        <w:br/>
        <w:br/>
        <w:t xml:space="preserve">Recommended and/or prescribed thresholds range from 20 spores of T. caries/seed in Germany, 10 spores/seed in Austria and Switzerland, one spore/seed in Scotland, to intervention at first appearance in Denmark (Waldow &amp; Jahn, 2007) and France. Waldow &amp; Jahn (2007) recommends a treatment threshold for T. caries of one spore/seed for susceptible wheat cultivars and 20 spores/seed for less susceptible cultivars.</w:t>
      </w:r>
      <w:r>
        <w:rPr>
          <w:color w:val="0200C9"/>
          <w:sz w:val="24"/>
          <w:szCs w:val="24"/>
        </w:rPr>
        <w:br/>
        <w:br/>
        <w:t xml:space="preserve">When soil is contaminated, Triazole fungicides (systemic) can be used. Rotation with non-host or less sensitive cereals can be performed (ARVALIS, 2023).</w:t>
      </w:r>
      <w:r>
        <w:rPr>
          <w:color w:val="0200C9"/>
          <w:sz w:val="24"/>
          <w:szCs w:val="24"/>
        </w:rPr>
        <w:br/>
        <w:t xml:space="preserve">Seed harvesting and handling machinery and equipment can be cleaned. Shallow seeding into warm wet soil drastically reduces the disease incidence (CABI, 2019).</w:t>
      </w:r>
      <w:r>
        <w:rPr>
          <w:color w:val="0200C9"/>
          <w:sz w:val="24"/>
          <w:szCs w:val="24"/>
        </w:rPr>
        <w:b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infection when seeds are sown with a certain infection level,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soil sown under greenhouse and field conditions (</w:t>
      </w:r>
      <w:hyperlink r:id="rId47196a3fbbd8b5c13"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color w:val="0200C9"/>
          <w:sz w:val="24"/>
          <w:szCs w:val="24"/>
        </w:rPr>
        <w:br/>
        <w:br/>
        <w:t xml:space="preserve">National situation and regulation for Tilletia spp. is highly dependant on the importance of organic wheat seed production at national level.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caries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did not see a problem of seed shortage for the organic sector, as seed treatment is still an option.</w:t>
      </w:r>
      <w:r>
        <w:rPr>
          <w:color w:val="0200C9"/>
          <w:sz w:val="24"/>
          <w:szCs w:val="24"/>
        </w:rPr>
        <w:br/>
        <w:br/>
        <w:t xml:space="preserve">Experts discussed the available treatments under option (b) for organic production:</w:t>
      </w:r>
      <w:r>
        <w:rPr>
          <w:color w:val="0200C9"/>
          <w:sz w:val="24"/>
          <w:szCs w:val="24"/>
        </w:rPr>
        <w:br/>
        <w:t xml:space="preserve">- Acetic acid (white vinegar; authorized as a basic substance): efficacy not considered enough when growing wheat in infested soil (ARVALIS, 2022; Saidi et al., 2001). Efficacy is variable, around 70% on seed-borne spores at an acetic acid dose of 1 liter per quintal, and 0% effectiveness on soil-borne spores.</w:t>
      </w:r>
      <w:r>
        <w:rPr>
          <w:color w:val="0200C9"/>
          <w:sz w:val="24"/>
          <w:szCs w:val="24"/>
        </w:rPr>
        <w:br/>
        <w:t xml:space="preserve">- Heat treatment which efficacy has been demonstrated: The effectiveness of e.g. THERMOSEED, a humid heat treatment, is excellent (99%), but the technique cannot be applied to large volumes of seeds like wheat which has low intrinsic value. Between the wheat harvest and sowing, the available time may be too short in many countries unless numerous and costly facilities are deployed (ARVALIS, 2022).</w:t>
      </w:r>
      <w:r>
        <w:rPr>
          <w:color w:val="0200C9"/>
          <w:sz w:val="24"/>
          <w:szCs w:val="24"/>
        </w:rPr>
        <w:br/>
        <w:t xml:space="preserve">- Mustard seed powder (authorized as a basic substance): demonstrated efficacy higher than acetic acid, but not total. Authorized in BE (and the EU) since 2017 (About 85% efficacy in Eylenbosh et al., 2025).</w:t>
      </w:r>
      <w:r>
        <w:rPr>
          <w:color w:val="0200C9"/>
          <w:sz w:val="24"/>
          <w:szCs w:val="24"/>
        </w:rPr>
        <w:br/>
        <w:t xml:space="preserve">- Seed treatment with Pseudomonas chlororaphis (ARVALIS, 2022).</w:t>
      </w:r>
      <w:r>
        <w:rPr>
          <w:color w:val="0200C9"/>
          <w:sz w:val="24"/>
          <w:szCs w:val="24"/>
        </w:rPr>
        <w:br/>
        <w:t xml:space="preserve">- Seed treatment with tribasic copper sulfate (ARVALIS, 2022).</w:t>
      </w:r>
      <w:r>
        <w:rPr>
          <w:color w:val="0200C9"/>
          <w:sz w:val="24"/>
          <w:szCs w:val="24"/>
        </w:rPr>
        <w:br/>
        <w:t xml:space="preserve">Remark about seed brushing: Experts considered that this should only be used to achieve option (a). Brushing may be about 70–80% effective on seed-borne spores.</w:t>
      </w:r>
      <w:r>
        <w:rPr>
          <w:color w:val="0200C9"/>
          <w:sz w:val="24"/>
          <w:szCs w:val="24"/>
        </w:rPr>
        <w:br/>
        <w:br/>
        <w:t xml:space="preserve">Considering the lower efficacy of seed treatments for organic farming, experts recommended that when it is known that there are more than 150 (viable) spores/seed, seed treatment should not be authorized as a standalone option and the lot should be rejected. This is supported by a one-year trial performed in AT during the Liveseed Project (AGES 2021) which has shown</w:t>
      </w:r>
      <w:r>
        <w:rPr>
          <w:color w:val="0200C9"/>
          <w:sz w:val="24"/>
          <w:szCs w:val="24"/>
        </w:rPr>
        <w:br/>
        <w:t xml:space="preserve">- Moderate to high infection levels after white vinegar treatment of lots infected at &gt;150 spores/seed on average,</w:t>
      </w:r>
      <w:r>
        <w:rPr>
          <w:color w:val="0200C9"/>
          <w:sz w:val="24"/>
          <w:szCs w:val="24"/>
        </w:rPr>
        <w:br/>
        <w:t xml:space="preserve">- Moderate to high infection levels after Pseudomonas chlororaphis treatments of lots infected at &gt;300 spores/seed on average, and</w:t>
      </w:r>
      <w:r>
        <w:rPr>
          <w:color w:val="0200C9"/>
          <w:sz w:val="24"/>
          <w:szCs w:val="24"/>
        </w:rPr>
        <w:br/>
        <w:t xml:space="preserve">- Low infection levels (not zero) after fludioxonil/difenoconazole treatments of lots infected with 300 and 500 spores/seed on average.</w:t>
      </w:r>
      <w:r>
        <w:rPr>
          <w:color w:val="0200C9"/>
          <w:sz w:val="24"/>
          <w:szCs w:val="24"/>
        </w:rPr>
        <w:br/>
        <w:t xml:space="preserve">The value of 150 (viable) spores/seed is proposed in the measures, but experts considered that a value within 100-200 (viable) spores/seed would not make much difference (existing threshold at 200 (viable) spores/seed in DE, 300 in AT and 100 for farm-saved seeds in AT). Testing the seeds for this threshold should be performed based on suspicion, and systematically when the Tilletia sp. was observed during field inspection. However, in practice Tilletia infection is seen when seeds are mature and in Austria field inspection is done when the plants are flowering. But this maybe more relevant for other countries performing the field inspection at the mature stage.</w:t>
      </w:r>
      <w:r>
        <w:rPr>
          <w:color w:val="0200C9"/>
          <w:sz w:val="24"/>
          <w:szCs w:val="24"/>
        </w:rPr>
        <w:br/>
        <w:t xml:space="preserve">It could also be considered whether testing organic seeds more systematically for this threshold.</w:t>
      </w:r>
      <w:r>
        <w:rPr>
          <w:color w:val="0200C9"/>
          <w:sz w:val="24"/>
          <w:szCs w:val="24"/>
        </w:rPr>
        <w:br/>
        <w:br/>
        <w:t xml:space="preserve">The suitability of the seed treatments can be verified during official post-controls (for seeds already on the market). This could be used to check retrospectively whether the seed treatments applied were sufficiently effective or not. These tests should primarily be performed on samples that have been treated with new methods, in particular for organic farming.</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80036a3fbbd8b5e47"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57146a3fbbd8b5e71"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AGES (2021) Investigating the spectrum efficiency of the organic seed treatments Cerall and white vinegar concerning different infection levels of common bunt (Tilletia caries) on winter wheat. LIVESEED Final report. WP2. Available at </w:t>
      </w:r>
      <w:hyperlink r:id="rId67586a3fbbd8b5e96" w:history="1">
        <w:r>
          <w:rPr>
            <w:color w:val="0200C9"/>
            <w:sz w:val="24"/>
            <w:szCs w:val="24"/>
          </w:rPr>
          <w:t xml:space="preserve">https://www.liveseed.eu/wp-content/uploads/2021/10/AGES-field-trial_Bunt_Tilletia_Final-report_WP2.pdf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99276a3fbbd8b5eb9"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ARVALIS (2023) Les fiches accident. Céréales à paille. Carie commune : Tilletia caries, Tilletia foetida. Available at </w:t>
      </w:r>
      <w:hyperlink r:id="rId73936a3fbbd8b5edc" w:history="1">
        <w:r>
          <w:rPr>
            <w:color w:val="0200C9"/>
            <w:sz w:val="24"/>
            <w:szCs w:val="24"/>
          </w:rPr>
          <w:t xml:space="preserve">https://fiches.arvalis-infos.fr/fiche_accident/fiches_accidents.php?mode=fa&amp;type_cul=1&amp;type_acc=4&amp;id_acc=81</w:t>
        </w:r>
      </w:hyperlink>
    </w:p>
    <w:p>
      <w:pPr>
        <w:numPr>
          <w:ilvl w:val="0"/>
          <w:numId w:val="1"/>
        </w:numPr>
        <w:spacing w:before="0" w:after="0" w:line="240" w:lineRule="auto"/>
        <w:jc w:val="left"/>
        <w:rPr>
          <w:color w:val="0200C9"/>
          <w:sz w:val="24"/>
          <w:szCs w:val="24"/>
        </w:rPr>
      </w:pPr>
      <w:r>
        <w:rPr>
          <w:color w:val="0200C9"/>
          <w:sz w:val="24"/>
          <w:szCs w:val="24"/>
        </w:rPr>
        <w:t xml:space="preserve">Balau &amp; Ulea (2015) Research Regarding Wheat (Triticum aestivum L.) Resistance to Tilletia caries (DC.) Tul. Infection. Bulletin USAMV series Agriculture 72(1). DOI 10.15835/buasvmcn-agr: 10426</w:t>
      </w:r>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81316a3fbbd8b5f42"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15356a3fbbd8b5f66"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Fontaine L, Robin N, Bruyère J &amp; du Cheyron P (2013) Agir rapidement pour contenir la carie commune : exploration de diverses méthodes de contrôle. Innovations Agronomiques 32, 35-46. Available at </w:t>
      </w:r>
      <w:hyperlink r:id="rId41116a3fbbd8b5f98" w:history="1">
        <w:r>
          <w:rPr>
            <w:color w:val="0200C9"/>
            <w:sz w:val="24"/>
            <w:szCs w:val="24"/>
          </w:rPr>
          <w:t xml:space="preserve">https://orgprints.org/id/eprint/26256/1/Fontaine_2013_CIAG_Vol32.pdf</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65616a3fbbd8b5fbb"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Matanguihan JB, Murphy KM &amp; Jones SS (2011) Control of common bunt in organic wheat. Plant Disease 95(2), 92-103.</w:t>
      </w:r>
    </w:p>
    <w:p>
      <w:pPr>
        <w:numPr>
          <w:ilvl w:val="0"/>
          <w:numId w:val="1"/>
        </w:numPr>
        <w:spacing w:before="0" w:after="0" w:line="240" w:lineRule="auto"/>
        <w:jc w:val="left"/>
        <w:rPr>
          <w:color w:val="0200C9"/>
          <w:sz w:val="24"/>
          <w:szCs w:val="24"/>
        </w:rPr>
      </w:pPr>
      <w:r>
        <w:rPr>
          <w:color w:val="0200C9"/>
          <w:sz w:val="24"/>
          <w:szCs w:val="24"/>
        </w:rPr>
        <w:t xml:space="preserve">Oerke EC, Dehne HW, Schönbeck F &amp; Weber A (1994) Crop Production and Protection. Amsterdam: Elsevier</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Vánky K (2012) Smut Fungi of the world (p.881). ISBN: 9780890543986. Dec 2012.</w:t>
      </w:r>
    </w:p>
    <w:p>
      <w:pPr>
        <w:numPr>
          <w:ilvl w:val="0"/>
          <w:numId w:val="1"/>
        </w:numPr>
        <w:spacing w:before="0" w:after="0" w:line="240" w:lineRule="auto"/>
        <w:jc w:val="left"/>
        <w:rPr>
          <w:color w:val="0200C9"/>
          <w:sz w:val="24"/>
          <w:szCs w:val="24"/>
        </w:rPr>
      </w:pPr>
      <w:r>
        <w:rPr>
          <w:color w:val="0200C9"/>
          <w:sz w:val="24"/>
          <w:szCs w:val="24"/>
        </w:rPr>
        <w:t xml:space="preserve">Waldow F &amp; Jahn M (2007) Investigation in the regulation of common bunt (Tilletia tritici) of winter wheat with regards to threshold values, cultivar susciptibility and non-chemical protection measures. Jounal of Plant Diseases and Protection 114(6), 269-275.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399185">
    <w:multiLevelType w:val="hybridMultilevel"/>
    <w:lvl w:ilvl="0" w:tplc="30616484">
      <w:start w:val="1"/>
      <w:numFmt w:val="decimal"/>
      <w:lvlText w:val="%1."/>
      <w:lvlJc w:val="left"/>
      <w:pPr>
        <w:ind w:left="720" w:hanging="360"/>
      </w:pPr>
    </w:lvl>
    <w:lvl w:ilvl="1" w:tplc="30616484" w:tentative="1">
      <w:start w:val="1"/>
      <w:numFmt w:val="lowerLetter"/>
      <w:lvlText w:val="%2."/>
      <w:lvlJc w:val="left"/>
      <w:pPr>
        <w:ind w:left="1440" w:hanging="360"/>
      </w:pPr>
    </w:lvl>
    <w:lvl w:ilvl="2" w:tplc="30616484" w:tentative="1">
      <w:start w:val="1"/>
      <w:numFmt w:val="lowerRoman"/>
      <w:lvlText w:val="%3."/>
      <w:lvlJc w:val="right"/>
      <w:pPr>
        <w:ind w:left="2160" w:hanging="180"/>
      </w:pPr>
    </w:lvl>
    <w:lvl w:ilvl="3" w:tplc="30616484" w:tentative="1">
      <w:start w:val="1"/>
      <w:numFmt w:val="decimal"/>
      <w:lvlText w:val="%4."/>
      <w:lvlJc w:val="left"/>
      <w:pPr>
        <w:ind w:left="2880" w:hanging="360"/>
      </w:pPr>
    </w:lvl>
    <w:lvl w:ilvl="4" w:tplc="30616484" w:tentative="1">
      <w:start w:val="1"/>
      <w:numFmt w:val="lowerLetter"/>
      <w:lvlText w:val="%5."/>
      <w:lvlJc w:val="left"/>
      <w:pPr>
        <w:ind w:left="3600" w:hanging="360"/>
      </w:pPr>
    </w:lvl>
    <w:lvl w:ilvl="5" w:tplc="30616484" w:tentative="1">
      <w:start w:val="1"/>
      <w:numFmt w:val="lowerRoman"/>
      <w:lvlText w:val="%6."/>
      <w:lvlJc w:val="right"/>
      <w:pPr>
        <w:ind w:left="4320" w:hanging="180"/>
      </w:pPr>
    </w:lvl>
    <w:lvl w:ilvl="6" w:tplc="30616484" w:tentative="1">
      <w:start w:val="1"/>
      <w:numFmt w:val="decimal"/>
      <w:lvlText w:val="%7."/>
      <w:lvlJc w:val="left"/>
      <w:pPr>
        <w:ind w:left="5040" w:hanging="360"/>
      </w:pPr>
    </w:lvl>
    <w:lvl w:ilvl="7" w:tplc="30616484" w:tentative="1">
      <w:start w:val="1"/>
      <w:numFmt w:val="lowerLetter"/>
      <w:lvlText w:val="%8."/>
      <w:lvlJc w:val="left"/>
      <w:pPr>
        <w:ind w:left="5760" w:hanging="360"/>
      </w:pPr>
    </w:lvl>
    <w:lvl w:ilvl="8" w:tplc="30616484" w:tentative="1">
      <w:start w:val="1"/>
      <w:numFmt w:val="lowerRoman"/>
      <w:lvlText w:val="%9."/>
      <w:lvlJc w:val="right"/>
      <w:pPr>
        <w:ind w:left="6480" w:hanging="180"/>
      </w:pPr>
    </w:lvl>
  </w:abstractNum>
  <w:abstractNum w:abstractNumId="67399184">
    <w:multiLevelType w:val="hybridMultilevel"/>
    <w:lvl w:ilvl="0" w:tplc="196171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99184">
    <w:abstractNumId w:val="67399184"/>
  </w:num>
  <w:num w:numId="67399185">
    <w:abstractNumId w:val="673991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2636531" Type="http://schemas.microsoft.com/office/2011/relationships/commentsExtended" Target="commentsExtended.xml"/><Relationship Id="rId14556a3fbbd8b5729" Type="http://schemas.openxmlformats.org/officeDocument/2006/relationships/hyperlink" Target="https://gd.eppo.int/" TargetMode="External"/><Relationship Id="rId47196a3fbbd8b5c13" Type="http://schemas.openxmlformats.org/officeDocument/2006/relationships/hyperlink" Target="https://www.eppo.int/media/uploaded_images/MEETINGS/Meetings_2015/testa_angers/07_Orgeur.pdf" TargetMode="External"/><Relationship Id="rId80036a3fbbd8b5e47" Type="http://schemas.openxmlformats.org/officeDocument/2006/relationships/hyperlink" Target="https://dafne.at/content/report_release/bc582bd9-3d39-4077-b287-ba35e9f51b6d_0.pdf" TargetMode="External"/><Relationship Id="rId57146a3fbbd8b5e71" Type="http://schemas.openxmlformats.org/officeDocument/2006/relationships/hyperlink" Target="http://www.saatgut-austria.at/MEDIA/67%20Tagungsband%20Gumpenstein%202017.pdf" TargetMode="External"/><Relationship Id="rId67586a3fbbd8b5e96" Type="http://schemas.openxmlformats.org/officeDocument/2006/relationships/hyperlink" Target="https://www.liveseed.eu/wp-content/uploads/2021/10/AGES-field-trial_Bunt_Tilletia_Final-report_WP2.pdf" TargetMode="External"/><Relationship Id="rId99276a3fbbd8b5eb9" Type="http://schemas.openxmlformats.org/officeDocument/2006/relationships/hyperlink" Target="https://www.arvalis.fr/infos-techniques/les-traitements-de-semences-indispensable-pour-la-protection-contre-la-carie" TargetMode="External"/><Relationship Id="rId73936a3fbbd8b5edc" Type="http://schemas.openxmlformats.org/officeDocument/2006/relationships/hyperlink" Target="https://fiches.arvalis-infos.fr/fiche_accident/fiches_accidents.php?mode=fa&amp;type_cul=1&amp;type_acc=4&amp;id_acc=81" TargetMode="External"/><Relationship Id="rId81316a3fbbd8b5f42" Type="http://schemas.openxmlformats.org/officeDocument/2006/relationships/hyperlink" Target="https://doi.org/10.1079/cabicompendium.53923" TargetMode="External"/><Relationship Id="rId15356a3fbbd8b5f66" Type="http://schemas.openxmlformats.org/officeDocument/2006/relationships/hyperlink" Target="https://livre-blanc-cereales.be/thematiques/maladies/froment/thematiques-maladies-froment-carie/" TargetMode="External"/><Relationship Id="rId41116a3fbbd8b5f98" Type="http://schemas.openxmlformats.org/officeDocument/2006/relationships/hyperlink" Target="https://orgprints.org/id/eprint/26256/1/Fontaine_2013_CIAG_Vol32.pdf" TargetMode="External"/><Relationship Id="rId65616a3fbbd8b5fbb"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