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Tetranychus urticae (TETRUR)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60606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606060"/>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60606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60606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60606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CABI Crop Protection Compendium on Tetranychus urticae (two-spotted spider mite) (2021). The pest is reported to be present in Austria (1996), Belgium (1996), Bulgaria (1996), Croatia (2009), Cyprus (1996), Czech Republic (1996), Denmark (1996), Estonia (1996), Finland (1996), France (1996), Germany (2017), Greece (1996), Hungary (1996), Ireland (2003), Italy (1996), Latvia (1996), Lithuania (1996), Malta (1997), Netherlands (1996), Poland (1996), Romania (1996), Slovakia (2000), Slovenia (1996), Spain (1996), Sweden (1996).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that plants should be substantially free from other pests (e.g. Sphaerotheca alchemillae and Tetranychus urticae). Because this is understood as a general requirement, a full assessment of the RNQP status is performed. Remark: in PM 4/11, certified material (runners) may be held for a certain period before sale under refrigeration or in waiting beds under the same conditions as their mother plants. In PM4/9 (2) Ribes (2008): All plants should be grown in individual pots in a sterilized growing medium, with strict precautions, including preventive treatments as appropriate, against infestation by amongst others red spider mite (Tetranychus urticae). The general status of the plants with respect to these pests, should be regularly checked by visual inspection.</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Tetranychus urticae has a very wide host range. It includes many crops grown in glasshouses such as tomatoes, cucumbers and peppers and flowers such as chrysanthemums and orchids. It is also a problem on protected and unprotected strawberries. In some areas it can be a problem on field-grown fruit crops such as apples, pears and on grapevines. Other important crops that are infested include cotton, soyabeans and other legumes. This mite can also live on many non-crop hosts, which can provide a source of infestation (CABI 2021).</w:t>
      </w:r>
      <w:r>
        <w:rPr>
          <w:color w:val="F30000"/>
          <w:sz w:val="24"/>
          <w:szCs w:val="24"/>
        </w:rPr>
        <w:br/>
        <w:t xml:space="preserve">Tetranychus urticae has an overwintering or diapause form of the adult female that is initiated by short photoperiod, decreased temperature and unfavorable food supply. The overwintering females stop feeding and egg laying and leave their host plants to hibernate in cracks and crevices in protected places, such as the soil or glasshouse structures. They resume activity in the spring when they lay eggs on leaves. These mites also produce copious amounts of webbing (CABI, 2021).</w:t>
      </w:r>
      <w:r>
        <w:rPr>
          <w:color w:val="F30000"/>
          <w:sz w:val="24"/>
          <w:szCs w:val="24"/>
        </w:rPr>
        <w:br/>
        <w:t xml:space="preserve">Tetranychus urticae can be transported on plant material, but due to its large host-plant range, its ability to survive as overwintering female, its dispersal by active walking or by passive transport in the wind and on plants, tools and people (Zhang, 2003), plant material is not considered as a significant pathway compared to others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On strawberry, low level of populations of T. urticae mainly damage the spongy mesophyll tissue but higher densities increase the area of damage and injury to the palisade parenchyma occurs (Sances et al., 1979). The function of the stomatal apparatus is also affected, so that the stomata remain close. The result of this damage to leaf tissue is reduced chlorophyll content and reduced photosynthesis, carbon dioxide assimilation and transpiration. Such effects have been shown for strawberry (Sances et al., 1982). Since essential plant processes are affected, crop yields are diminished. This has been demonstrated on strawberry (Oatman et al., 1982). Nyoike and Liburd (2013) studied the impact of the mites on the marketable yield of field grown strawberries in Florida and reported that yield reduction in strawberry was detected when plants had 80 mites per leaf in the 2008/2009 growing season, and 50 mites per leaf in the 2009/2010 growing season. Results like this can be used to determine the timing of control programs, ensuring maximum yields are attained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Biological control with e.g. predatory mites (Easterbrook et al., 2001; García-Marí &amp; González-Zamora, 2019, Vacacela et al., 2019; Linder et al., 2001; Akyazi &amp; Liburd, 2019).</w:t>
      </w:r>
      <w:r>
        <w:rPr>
          <w:color w:val="606060"/>
          <w:sz w:val="24"/>
          <w:szCs w:val="24"/>
        </w:rPr>
        <w:br/>
        <w:t xml:space="preserve">Pesticides: dependent on regulations (Attia et al., 2013).</w:t>
      </w:r>
      <w:r>
        <w:rPr>
          <w:color w:val="606060"/>
          <w:sz w:val="24"/>
          <w:szCs w:val="24"/>
        </w:rPr>
        <w:br/>
        <w:t xml:space="preserve">Cultural measures: It has long been known that high humidity levels reduce the reproductive potential of tetranychids whose optimal environment is provided by hot and dry air (Attia et al., 2013)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Akyazi R &amp; Liburd OE (2019). Biological control of the twospotted spider mite (Trombidiformes: Tetranychidae) with the predatory mite Neoseiulus californicus (Mesotigmata: Phytoseiidae) in blackberries. Florida Entomologist 102(2), 373-381. Journal of Pesticide Science 86, 361–386</w:t>
      </w:r>
    </w:p>
    <w:p>
      <w:pPr>
        <w:numPr>
          <w:ilvl w:val="0"/>
          <w:numId w:val="1"/>
        </w:numPr>
        <w:spacing w:before="0" w:after="0" w:line="240" w:lineRule="auto"/>
        <w:jc w:val="left"/>
        <w:rPr>
          <w:color w:val="0200C9"/>
          <w:sz w:val="24"/>
          <w:szCs w:val="24"/>
        </w:rPr>
      </w:pPr>
      <w:r>
        <w:rPr>
          <w:color w:val="0200C9"/>
          <w:sz w:val="24"/>
          <w:szCs w:val="24"/>
        </w:rPr>
        <w:t xml:space="preserve">Alston D (2017) Spider mites in raspberry. Utah State University Extension and Utah Plant Pest Diagnostic Laboratory ENT-183-17. </w:t>
      </w:r>
      <w:hyperlink r:id="rId44046a7b272588275" w:history="1">
        <w:r>
          <w:rPr>
            <w:color w:val="0200C9"/>
            <w:sz w:val="24"/>
            <w:szCs w:val="24"/>
          </w:rPr>
          <w:t xml:space="preserve">https://extension.usu.edu/pests/research/spidermites-in-raspberry</w:t>
        </w:r>
      </w:hyperlink>
    </w:p>
    <w:p>
      <w:pPr>
        <w:numPr>
          <w:ilvl w:val="0"/>
          <w:numId w:val="1"/>
        </w:numPr>
        <w:spacing w:before="0" w:after="0" w:line="240" w:lineRule="auto"/>
        <w:jc w:val="left"/>
        <w:rPr>
          <w:color w:val="0200C9"/>
          <w:sz w:val="24"/>
          <w:szCs w:val="24"/>
        </w:rPr>
      </w:pPr>
      <w:r>
        <w:rPr>
          <w:color w:val="0200C9"/>
          <w:sz w:val="24"/>
          <w:szCs w:val="24"/>
        </w:rPr>
        <w:t xml:space="preserve">Attia S., Grissa KL, Lognay G, Bitume E, Hance T, Mailleux AC (2013). A review of the major biological approaches to control the worldwide pest Tetranychus urticae (Acari: Tetranychidae) with special reference to natural pesticides.</w:t>
      </w:r>
    </w:p>
    <w:p>
      <w:pPr>
        <w:numPr>
          <w:ilvl w:val="0"/>
          <w:numId w:val="1"/>
        </w:numPr>
        <w:spacing w:before="0" w:after="0" w:line="240" w:lineRule="auto"/>
        <w:jc w:val="left"/>
        <w:rPr>
          <w:color w:val="0200C9"/>
          <w:sz w:val="24"/>
          <w:szCs w:val="24"/>
        </w:rPr>
      </w:pPr>
      <w:r>
        <w:rPr>
          <w:color w:val="0200C9"/>
          <w:sz w:val="24"/>
          <w:szCs w:val="24"/>
        </w:rPr>
        <w:t xml:space="preserve">CABI (2021) Tetranychus urticae (two-spotted spider mite). </w:t>
      </w:r>
      <w:hyperlink r:id="rId38016a7b2725882bb" w:history="1">
        <w:r>
          <w:rPr>
            <w:color w:val="0200C9"/>
            <w:sz w:val="24"/>
            <w:szCs w:val="24"/>
          </w:rPr>
          <w:t xml:space="preserve">https://www.cabidigitallibrary.org/doi/10.1079/cabicompendium.53366</w:t>
        </w:r>
      </w:hyperlink>
    </w:p>
    <w:p>
      <w:pPr>
        <w:numPr>
          <w:ilvl w:val="0"/>
          <w:numId w:val="1"/>
        </w:numPr>
        <w:spacing w:before="0" w:after="0" w:line="240" w:lineRule="auto"/>
        <w:jc w:val="left"/>
        <w:rPr>
          <w:color w:val="0200C9"/>
          <w:sz w:val="24"/>
          <w:szCs w:val="24"/>
        </w:rPr>
      </w:pPr>
      <w:r>
        <w:rPr>
          <w:color w:val="0200C9"/>
          <w:sz w:val="24"/>
          <w:szCs w:val="24"/>
        </w:rPr>
        <w:t xml:space="preserve">Easterbrook MA, Fitzgerald JD &amp; Solomon MG (2001). Biological control of strawberry tarsonemid mite Phytonemus pallidus and two-spotted spider mite Tetranychus urticae on strawberry in the UK using species of Neoseiulus (Amblyseius)(Acari: Phytoseiidae). Experimental &amp; Applied Acarology 25, 25-36.</w:t>
      </w:r>
    </w:p>
    <w:p>
      <w:pPr>
        <w:numPr>
          <w:ilvl w:val="0"/>
          <w:numId w:val="1"/>
        </w:numPr>
        <w:spacing w:before="0" w:after="0" w:line="240" w:lineRule="auto"/>
        <w:jc w:val="left"/>
        <w:rPr>
          <w:color w:val="0200C9"/>
          <w:sz w:val="24"/>
          <w:szCs w:val="24"/>
        </w:rPr>
      </w:pPr>
      <w:r>
        <w:rPr>
          <w:color w:val="0200C9"/>
          <w:sz w:val="24"/>
          <w:szCs w:val="24"/>
        </w:rPr>
        <w:t xml:space="preserve">García-Marí F &amp; González-Zamora JE. (1999). Biological control of Tetranychus urticae (Acari: Tetranychidae) with naturally occurring predators in strawberry plantings in Valenica, Spain. Experimental &amp; Applied Acarology 23, 487-495.</w:t>
      </w:r>
    </w:p>
    <w:p>
      <w:pPr>
        <w:numPr>
          <w:ilvl w:val="0"/>
          <w:numId w:val="1"/>
        </w:numPr>
        <w:spacing w:before="0" w:after="0" w:line="240" w:lineRule="auto"/>
        <w:jc w:val="left"/>
        <w:rPr>
          <w:color w:val="0200C9"/>
          <w:sz w:val="24"/>
          <w:szCs w:val="24"/>
        </w:rPr>
      </w:pPr>
      <w:r>
        <w:rPr>
          <w:color w:val="0200C9"/>
          <w:sz w:val="24"/>
          <w:szCs w:val="24"/>
        </w:rPr>
        <w:t xml:space="preserve">Linder C, Mittaz C &amp; Carlen C. (2003). Biological control of Tetranychus urticae on plastic covered raspberries with native and introduced phytoseiids. IOBC WPRS Bulletin 26(2), 113-118.</w:t>
      </w:r>
    </w:p>
    <w:p>
      <w:pPr>
        <w:numPr>
          <w:ilvl w:val="0"/>
          <w:numId w:val="1"/>
        </w:numPr>
        <w:spacing w:before="0" w:after="0" w:line="240" w:lineRule="auto"/>
        <w:jc w:val="left"/>
        <w:rPr>
          <w:color w:val="0200C9"/>
          <w:sz w:val="24"/>
          <w:szCs w:val="24"/>
        </w:rPr>
      </w:pPr>
      <w:r>
        <w:rPr>
          <w:color w:val="0200C9"/>
          <w:sz w:val="24"/>
          <w:szCs w:val="24"/>
        </w:rPr>
        <w:t xml:space="preserve">Nyoike TW &amp; Liburd OE (2013). Effect of Tetranychus urticae (acari: tetranychidae), on marketable yields of field-grown strawberries in north-central Florida. Journal of Economic Entomology 106(4), 1757–1766. </w:t>
      </w:r>
      <w:hyperlink r:id="rId93786a7b27258831f" w:history="1">
        <w:r>
          <w:rPr>
            <w:color w:val="0200C9"/>
            <w:sz w:val="24"/>
            <w:szCs w:val="24"/>
          </w:rPr>
          <w:t xml:space="preserve">https://doi.org/10.1603/EC12033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Oatman ER, Sances FV, LaPre LF, Toscano NC, Voth V (1982). Effects of different infestation levels of the two-spotted spider mite on strawberry yields in winter plantings in southern California. Journal of Economic Entomology 75(1), 94-96.</w:t>
      </w:r>
    </w:p>
    <w:p>
      <w:pPr>
        <w:numPr>
          <w:ilvl w:val="0"/>
          <w:numId w:val="1"/>
        </w:numPr>
        <w:spacing w:before="0" w:after="0" w:line="240" w:lineRule="auto"/>
        <w:jc w:val="left"/>
        <w:rPr>
          <w:color w:val="0200C9"/>
          <w:sz w:val="24"/>
          <w:szCs w:val="24"/>
        </w:rPr>
      </w:pPr>
      <w:r>
        <w:rPr>
          <w:color w:val="0200C9"/>
          <w:sz w:val="24"/>
          <w:szCs w:val="24"/>
        </w:rPr>
        <w:t xml:space="preserve">Sances FV, Wyman JA, Ting IP (1979). Morphological responses of strawberry leaves to infestations of two-spotted spider mite. Journal of Economic Entomology 72(5), 710-713.</w:t>
      </w:r>
    </w:p>
    <w:p>
      <w:pPr>
        <w:numPr>
          <w:ilvl w:val="0"/>
          <w:numId w:val="1"/>
        </w:numPr>
        <w:spacing w:before="0" w:after="0" w:line="240" w:lineRule="auto"/>
        <w:jc w:val="left"/>
        <w:rPr>
          <w:color w:val="0200C9"/>
          <w:sz w:val="24"/>
          <w:szCs w:val="24"/>
        </w:rPr>
      </w:pPr>
      <w:r>
        <w:rPr>
          <w:color w:val="0200C9"/>
          <w:sz w:val="24"/>
          <w:szCs w:val="24"/>
        </w:rPr>
        <w:t xml:space="preserve">Sances FV, Toscano NC, LaPre LF, Oatman ER, Johnson MW (1982). Spider mites can reduce strawberry yields. California Agriculture 36(1/2):14-15</w:t>
      </w:r>
    </w:p>
    <w:p>
      <w:pPr>
        <w:numPr>
          <w:ilvl w:val="0"/>
          <w:numId w:val="1"/>
        </w:numPr>
        <w:spacing w:before="0" w:after="0" w:line="240" w:lineRule="auto"/>
        <w:jc w:val="left"/>
        <w:rPr>
          <w:color w:val="0200C9"/>
          <w:sz w:val="24"/>
          <w:szCs w:val="24"/>
        </w:rPr>
      </w:pPr>
      <w:r>
        <w:rPr>
          <w:color w:val="0200C9"/>
          <w:sz w:val="24"/>
          <w:szCs w:val="24"/>
        </w:rPr>
        <w:t xml:space="preserve">Vacacela Ajila HE, Colares F, Lemos F, Marques PH, Franklin EC, Santos do Vale W, Oliveira EE, Venzon M &amp; Pallini, A. (2019). Supplementary food for Neoseiulus californicus boosts biological control of Tetranychus urticae on strawberry. Pest Management Science, 75(7), 1986-1992.</w:t>
      </w:r>
    </w:p>
    <w:p>
      <w:pPr>
        <w:numPr>
          <w:ilvl w:val="0"/>
          <w:numId w:val="1"/>
        </w:numPr>
        <w:spacing w:before="0" w:after="0" w:line="240" w:lineRule="auto"/>
        <w:jc w:val="left"/>
        <w:rPr>
          <w:color w:val="0200C9"/>
          <w:sz w:val="24"/>
          <w:szCs w:val="24"/>
        </w:rPr>
      </w:pPr>
      <w:r>
        <w:rPr>
          <w:color w:val="0200C9"/>
          <w:sz w:val="24"/>
          <w:szCs w:val="24"/>
        </w:rPr>
        <w:t xml:space="preserve">Zhang ZQ (2003). Mites of Greenhouses: Identification, Biology and Control. Wallingford, UK: CAB International.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859967">
    <w:multiLevelType w:val="hybridMultilevel"/>
    <w:lvl w:ilvl="0" w:tplc="78116220">
      <w:start w:val="1"/>
      <w:numFmt w:val="decimal"/>
      <w:lvlText w:val="%1."/>
      <w:lvlJc w:val="left"/>
      <w:pPr>
        <w:ind w:left="720" w:hanging="360"/>
      </w:pPr>
    </w:lvl>
    <w:lvl w:ilvl="1" w:tplc="78116220" w:tentative="1">
      <w:start w:val="1"/>
      <w:numFmt w:val="lowerLetter"/>
      <w:lvlText w:val="%2."/>
      <w:lvlJc w:val="left"/>
      <w:pPr>
        <w:ind w:left="1440" w:hanging="360"/>
      </w:pPr>
    </w:lvl>
    <w:lvl w:ilvl="2" w:tplc="78116220" w:tentative="1">
      <w:start w:val="1"/>
      <w:numFmt w:val="lowerRoman"/>
      <w:lvlText w:val="%3."/>
      <w:lvlJc w:val="right"/>
      <w:pPr>
        <w:ind w:left="2160" w:hanging="180"/>
      </w:pPr>
    </w:lvl>
    <w:lvl w:ilvl="3" w:tplc="78116220" w:tentative="1">
      <w:start w:val="1"/>
      <w:numFmt w:val="decimal"/>
      <w:lvlText w:val="%4."/>
      <w:lvlJc w:val="left"/>
      <w:pPr>
        <w:ind w:left="2880" w:hanging="360"/>
      </w:pPr>
    </w:lvl>
    <w:lvl w:ilvl="4" w:tplc="78116220" w:tentative="1">
      <w:start w:val="1"/>
      <w:numFmt w:val="lowerLetter"/>
      <w:lvlText w:val="%5."/>
      <w:lvlJc w:val="left"/>
      <w:pPr>
        <w:ind w:left="3600" w:hanging="360"/>
      </w:pPr>
    </w:lvl>
    <w:lvl w:ilvl="5" w:tplc="78116220" w:tentative="1">
      <w:start w:val="1"/>
      <w:numFmt w:val="lowerRoman"/>
      <w:lvlText w:val="%6."/>
      <w:lvlJc w:val="right"/>
      <w:pPr>
        <w:ind w:left="4320" w:hanging="180"/>
      </w:pPr>
    </w:lvl>
    <w:lvl w:ilvl="6" w:tplc="78116220" w:tentative="1">
      <w:start w:val="1"/>
      <w:numFmt w:val="decimal"/>
      <w:lvlText w:val="%7."/>
      <w:lvlJc w:val="left"/>
      <w:pPr>
        <w:ind w:left="5040" w:hanging="360"/>
      </w:pPr>
    </w:lvl>
    <w:lvl w:ilvl="7" w:tplc="78116220" w:tentative="1">
      <w:start w:val="1"/>
      <w:numFmt w:val="lowerLetter"/>
      <w:lvlText w:val="%8."/>
      <w:lvlJc w:val="left"/>
      <w:pPr>
        <w:ind w:left="5760" w:hanging="360"/>
      </w:pPr>
    </w:lvl>
    <w:lvl w:ilvl="8" w:tplc="78116220" w:tentative="1">
      <w:start w:val="1"/>
      <w:numFmt w:val="lowerRoman"/>
      <w:lvlText w:val="%9."/>
      <w:lvlJc w:val="right"/>
      <w:pPr>
        <w:ind w:left="6480" w:hanging="180"/>
      </w:pPr>
    </w:lvl>
  </w:abstractNum>
  <w:abstractNum w:abstractNumId="69859966">
    <w:multiLevelType w:val="hybridMultilevel"/>
    <w:lvl w:ilvl="0" w:tplc="520673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859966">
    <w:abstractNumId w:val="69859966"/>
  </w:num>
  <w:num w:numId="69859967">
    <w:abstractNumId w:val="698599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4788454" Type="http://schemas.microsoft.com/office/2011/relationships/commentsExtended" Target="commentsExtended.xml"/><Relationship Id="rId44046a7b272588275" Type="http://schemas.openxmlformats.org/officeDocument/2006/relationships/hyperlink" Target="https://extension.usu.edu/pests/research/spidermites-in-raspberry" TargetMode="External"/><Relationship Id="rId38016a7b2725882bb" Type="http://schemas.openxmlformats.org/officeDocument/2006/relationships/hyperlink" Target="https://www.cabidigitallibrary.org/doi/10.1079/cabicompendium.53366" TargetMode="External"/><Relationship Id="rId93786a7b27258831f" Type="http://schemas.openxmlformats.org/officeDocument/2006/relationships/hyperlink" Target="https://doi.org/10.1603/EC1203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