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Tetranychus urticae (TETRUR)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CABI Crop Protection Compendium on Tetranychus urticae (two-spotted spider mite) (2021). The pest is reported to be present in Austria (1996), Belgium (1996), Bulgaria (1996), Croatia (2009), Cyprus (1996), Czech Republic (1996), Denmark (1996), Estonia (1996), Finland (1996), France (1996), Germany (2017), Greece (1996), Hungary (1996), Ireland (2003), Italy (1996), Latvia (1996), Lithuania (1996), Malta (1997), Netherlands (1996), Poland (1996), Romania (1996), Slovakia (2000), Slovenia (1996), Spain (1996), Sweden (1996).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 However, in the responses to the questionnaire DE, ES, FR, NL, PL and SI supported deregulation because of economic impact was considered acceptable, plants for planting was not considered as a significant pathway compared to others, and no feasible and effective measures were considered available. Evaluation continues and a full assessment is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Tetranychus urticae has a very wide host range. It includes many crops grown in glasshouses such as tomatoes, cucumbers and peppers and flowers such as chrysanthemums and orchids (CABI 2021). Two spotted spider mite can be a problem blackcurrant cultivations (Labuschagne &amp; Wainwright, 1993; Łabanowska, 2002 ). The mites can also live on many non-crop hosts, which can provide a source of infestation (CABI 2021).</w:t>
      </w:r>
      <w:r>
        <w:rPr>
          <w:color w:val="F30000"/>
          <w:sz w:val="24"/>
          <w:szCs w:val="24"/>
        </w:rPr>
        <w:br/>
        <w:t xml:space="preserve">Tetranychus urticae has an overwintering or diapause form of the adult female that is initiated by short photoperiod, decreased temperature and unfavorable food supply. The overwintering females stop feeding and egg laying and leave their host plants to hibernate in cracks and crevices in protected places, such as the soil or glasshouse structures. They resume activity in the spring when they lay eggs on leaves. These mites also produce copious amounts of webbing (CABI, 2021)</w:t>
      </w:r>
      <w:r>
        <w:rPr>
          <w:color w:val="F30000"/>
          <w:sz w:val="24"/>
          <w:szCs w:val="24"/>
        </w:rPr>
        <w:br/>
        <w:t xml:space="preserve">Tetranychus urticae can be transported on plant material, but due to its large host-plant range, its ability to survive as overwintering female, its dispersal by active walking or by passive transport in the wind and on plants, tools and people (Zhang, 2003), plant material is not considered as its main pathway.</w:t>
      </w:r>
      <w:r>
        <w:rPr>
          <w:color w:val="F30000"/>
          <w:sz w:val="24"/>
          <w:szCs w:val="24"/>
        </w:rPr>
        <w:br/>
        <w:t xml:space="preserve">In the responses to the questionnaire, FR, NL, PL and SI considered that the pest was widespread, and that plants for planting was consequently not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Red spider mite can be a problem in blackcurrant cultivation, but no quantitative data are available.</w:t>
      </w:r>
      <w:r>
        <w:rPr>
          <w:color w:val="606060"/>
          <w:sz w:val="24"/>
          <w:szCs w:val="24"/>
        </w:rPr>
        <w:br/>
        <w:t xml:space="preserve">Large mite populations damage leaves and decrease yield of cultivated blackcurrant plants. The size of populations varies depends on the cultivars of blackcurrant. On many plantations this pest can be controlled in springtime, before bloom or just after blossom, and in the summer, after harvesting by the use of acaricides (Łabanowska, 2002). The use of pesticides can negatively impact natural predators and result in an adverse effect (Raudonis et al., 2005). Chemical control has become less effective because of the mite’s resistance to pesticides and the difficulty of achieving full under-leaf cover with acaricides in the dense canopy of this crop, biological control seems to be an option (Labuschagne &amp; Wainwright, 1993). The mite is favored by the warming climate (Parikka et al, 2016).</w:t>
      </w:r>
      <w:r>
        <w:rPr>
          <w:color w:val="606060"/>
          <w:sz w:val="24"/>
          <w:szCs w:val="24"/>
        </w:rPr>
        <w:br/>
        <w:t xml:space="preserve">In the responses to the questionnaire, ES, FR and SI considered that the pest was not causing unacceptable economic impact on this host plant.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the responses to the questionnaire, ES, FR and NL considered that no feasible and effective measures were available. DE commented that 'a generally known pest that can be easily controlled by the operator should not be regulated as RNQP. Horizontal regulation in the marketing regulations should ensure that the consignments to be marketed/moved are “practically free from pests”'.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Łabanowska BH &amp; Gajek D (1993) Control of the twospotted spider mite Tetranychus urticae Koch on black currant. Acta Horticulturae 352, 583-586.</w:t>
      </w:r>
    </w:p>
    <w:p>
      <w:pPr>
        <w:numPr>
          <w:ilvl w:val="0"/>
          <w:numId w:val="1"/>
        </w:numPr>
        <w:spacing w:before="0" w:after="0" w:line="240" w:lineRule="auto"/>
        <w:jc w:val="left"/>
        <w:rPr>
          <w:color w:val="0200C9"/>
          <w:sz w:val="24"/>
          <w:szCs w:val="24"/>
        </w:rPr>
      </w:pPr>
      <w:r>
        <w:rPr>
          <w:color w:val="0200C9"/>
          <w:sz w:val="24"/>
          <w:szCs w:val="24"/>
        </w:rPr>
        <w:t xml:space="preserve">Labuschagne L &amp; Wainwright H (1993) Biological control of red spider mite in commercial blackcurrant plantations. Acta Horticulturae 352, 563-568.</w:t>
      </w:r>
    </w:p>
    <w:p>
      <w:pPr>
        <w:numPr>
          <w:ilvl w:val="0"/>
          <w:numId w:val="1"/>
        </w:numPr>
        <w:spacing w:before="0" w:after="0" w:line="240" w:lineRule="auto"/>
        <w:jc w:val="left"/>
        <w:rPr>
          <w:color w:val="0200C9"/>
          <w:sz w:val="24"/>
          <w:szCs w:val="24"/>
        </w:rPr>
      </w:pPr>
      <w:r>
        <w:rPr>
          <w:color w:val="0200C9"/>
          <w:sz w:val="24"/>
          <w:szCs w:val="24"/>
        </w:rPr>
        <w:t xml:space="preserve">Łabanowska BH (2002) Efficacy of Envidor 240 SC in the control of the twospotted spider mite (Tetranychus urticae Koch) on the black currant plantations in Poland. Acta Horticulturae 585, 363-367.</w:t>
      </w:r>
    </w:p>
    <w:p>
      <w:pPr>
        <w:numPr>
          <w:ilvl w:val="0"/>
          <w:numId w:val="1"/>
        </w:numPr>
        <w:spacing w:before="0" w:after="0" w:line="240" w:lineRule="auto"/>
        <w:jc w:val="left"/>
        <w:rPr>
          <w:color w:val="0200C9"/>
          <w:sz w:val="24"/>
          <w:szCs w:val="24"/>
        </w:rPr>
      </w:pPr>
      <w:r>
        <w:rPr>
          <w:color w:val="0200C9"/>
          <w:sz w:val="24"/>
          <w:szCs w:val="24"/>
        </w:rPr>
        <w:t xml:space="preserve">Parikka P, Tuovinen T &amp; Lemmetty A (2016) Challenges for plant protection of berry crops in northern Europe. Acta Horticulturae 1117, 95-102.</w:t>
      </w:r>
    </w:p>
    <w:p>
      <w:pPr>
        <w:numPr>
          <w:ilvl w:val="0"/>
          <w:numId w:val="1"/>
        </w:numPr>
        <w:spacing w:before="0" w:after="0" w:line="240" w:lineRule="auto"/>
        <w:jc w:val="left"/>
        <w:rPr>
          <w:color w:val="0200C9"/>
          <w:sz w:val="24"/>
          <w:szCs w:val="24"/>
        </w:rPr>
      </w:pPr>
      <w:r>
        <w:rPr>
          <w:color w:val="0200C9"/>
          <w:sz w:val="24"/>
          <w:szCs w:val="24"/>
        </w:rPr>
        <w:t xml:space="preserve">Raudonis L, Valiuškaitė A, Survilienė E &amp; Duchovskienė L (2005) Effects of Spirodiclofen on the two-spotted spider mite, Tetranychus urticae (Acari: Tetranychidae) in black currants. Sodininkystė ir Daržininkystė, 2005, Vol. 24, No. 2, 54-63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13585">
    <w:multiLevelType w:val="hybridMultilevel"/>
    <w:lvl w:ilvl="0" w:tplc="97937428">
      <w:start w:val="1"/>
      <w:numFmt w:val="decimal"/>
      <w:lvlText w:val="%1."/>
      <w:lvlJc w:val="left"/>
      <w:pPr>
        <w:ind w:left="720" w:hanging="360"/>
      </w:pPr>
    </w:lvl>
    <w:lvl w:ilvl="1" w:tplc="97937428" w:tentative="1">
      <w:start w:val="1"/>
      <w:numFmt w:val="lowerLetter"/>
      <w:lvlText w:val="%2."/>
      <w:lvlJc w:val="left"/>
      <w:pPr>
        <w:ind w:left="1440" w:hanging="360"/>
      </w:pPr>
    </w:lvl>
    <w:lvl w:ilvl="2" w:tplc="97937428" w:tentative="1">
      <w:start w:val="1"/>
      <w:numFmt w:val="lowerRoman"/>
      <w:lvlText w:val="%3."/>
      <w:lvlJc w:val="right"/>
      <w:pPr>
        <w:ind w:left="2160" w:hanging="180"/>
      </w:pPr>
    </w:lvl>
    <w:lvl w:ilvl="3" w:tplc="97937428" w:tentative="1">
      <w:start w:val="1"/>
      <w:numFmt w:val="decimal"/>
      <w:lvlText w:val="%4."/>
      <w:lvlJc w:val="left"/>
      <w:pPr>
        <w:ind w:left="2880" w:hanging="360"/>
      </w:pPr>
    </w:lvl>
    <w:lvl w:ilvl="4" w:tplc="97937428" w:tentative="1">
      <w:start w:val="1"/>
      <w:numFmt w:val="lowerLetter"/>
      <w:lvlText w:val="%5."/>
      <w:lvlJc w:val="left"/>
      <w:pPr>
        <w:ind w:left="3600" w:hanging="360"/>
      </w:pPr>
    </w:lvl>
    <w:lvl w:ilvl="5" w:tplc="97937428" w:tentative="1">
      <w:start w:val="1"/>
      <w:numFmt w:val="lowerRoman"/>
      <w:lvlText w:val="%6."/>
      <w:lvlJc w:val="right"/>
      <w:pPr>
        <w:ind w:left="4320" w:hanging="180"/>
      </w:pPr>
    </w:lvl>
    <w:lvl w:ilvl="6" w:tplc="97937428" w:tentative="1">
      <w:start w:val="1"/>
      <w:numFmt w:val="decimal"/>
      <w:lvlText w:val="%7."/>
      <w:lvlJc w:val="left"/>
      <w:pPr>
        <w:ind w:left="5040" w:hanging="360"/>
      </w:pPr>
    </w:lvl>
    <w:lvl w:ilvl="7" w:tplc="97937428" w:tentative="1">
      <w:start w:val="1"/>
      <w:numFmt w:val="lowerLetter"/>
      <w:lvlText w:val="%8."/>
      <w:lvlJc w:val="left"/>
      <w:pPr>
        <w:ind w:left="5760" w:hanging="360"/>
      </w:pPr>
    </w:lvl>
    <w:lvl w:ilvl="8" w:tplc="97937428" w:tentative="1">
      <w:start w:val="1"/>
      <w:numFmt w:val="lowerRoman"/>
      <w:lvlText w:val="%9."/>
      <w:lvlJc w:val="right"/>
      <w:pPr>
        <w:ind w:left="6480" w:hanging="180"/>
      </w:pPr>
    </w:lvl>
  </w:abstractNum>
  <w:abstractNum w:abstractNumId="87713584">
    <w:multiLevelType w:val="hybridMultilevel"/>
    <w:lvl w:ilvl="0" w:tplc="5731412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13584">
    <w:abstractNumId w:val="87713584"/>
  </w:num>
  <w:num w:numId="87713585">
    <w:abstractNumId w:val="8771358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7816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