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Stralarivirus fragariae (strawberry latent ringspot virus) (SLRSV0)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Strawberry latent ringspot virus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Strawberry latent ringspot virus (SLRSV) is a member of the family Secoviridae.</w:t>
      </w:r>
      <w:r>
        <w:rPr>
          <w:color w:val="0200C9"/>
          <w:sz w:val="24"/>
          <w:szCs w:val="24"/>
        </w:rPr>
        <w:br/>
        <w:t xml:space="preserve">This virus can be detected and identified in host plants and nematode vectors by specific reverse transcription polymerase chain reaction assays (RT-PCR) and/or sequencing. Antisera are also available and widely used for virus surveys and monitoring as well as for indexing of planting materials to ensure freedom from viruses (EFSA PLH, 2013). RT-PCR is commonly used in olive, including in certification programs for the detection and characterization of such plant viruses (Faggioli et al., 2005; Çağlayan et al., 2008).</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(2015); Croatia (2016); Czech Republic (1994); Finland (1996); France (1992); Germany (1993); Greece (2020); Greece/Kriti (2020); Hungary (1995); Ireland (1993); Italy (1993); Luxembourg (1992); Netherlands (2022); Poland (1992); Portugal (1992); Spain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SLRSV is widely distributed in the EPPO region. Data of the presence of this pest on the EU territory are available in EPPO Global Database (</w:t>
      </w:r>
      <w:hyperlink r:id="rId67866a04252873cb4"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persica (PRNPS)</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as 'Strawberry latent ringspot nepovirus (SLRSV)' in EPPO Standard PM 4-30 Certification scheme for almond, apricot, peach and plum; with testing recommended on peach plants only.</w:t>
      </w:r>
      <w:r>
        <w:rPr>
          <w:color w:val="0200C9"/>
          <w:sz w:val="24"/>
          <w:szCs w:val="24"/>
        </w:rPr>
        <w:br/>
        <w:t xml:space="preserve">Although PL considered in responses to the questionnaire that plants for planting was not the main pathway, this was not supported by enough justification.</w:t>
      </w:r>
      <w:r>
        <w:rPr>
          <w:color w:val="0200C9"/>
          <w:sz w:val="24"/>
          <w:szCs w:val="24"/>
        </w:rPr>
        <w:br/>
        <w:t xml:space="preserve">The Fruit SEWG decided to further analyse the data of economic impact available for this pest/host combination. Evaluation continues on this criteria.</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There is very little precise information in the literature about the losses that may be caused by this virus in other host crops such as Prunus (EFSA PLH, 2013).</w:t>
      </w:r>
      <w:r>
        <w:rPr>
          <w:color w:val="F30000"/>
          <w:sz w:val="24"/>
          <w:szCs w:val="24"/>
        </w:rPr>
        <w:br/>
        <w:br/>
        <w:t xml:space="preserve">There is reference to SLRSV in Europe being the cause of peach rosette, in Chapter 16 of Jain et al 2024, listed as Ahmad et al, 2024 (see reference), but no specific economic loss information is provided. This is further complicated by peach rosette being the resulting disease of Ca. phytoplasma asteris (Canada), or a mixed infection of prune dwarf virus and prunus necrotic ringspot virus, or peach rosette mosaic virus.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EFSA PLH (2013) states that certification programmes exist that greatly limit the prevalence and the actual impact of this virus in Prunus.</w:t>
      </w:r>
      <w:r>
        <w:rPr>
          <w:color w:val="F30000"/>
          <w:sz w:val="24"/>
          <w:szCs w:val="24"/>
        </w:rPr>
        <w:br/>
        <w:t xml:space="preserve">The Fruit SEWG commented that voluntary certification schemes are not widely used in all EU countries. For instance, in Spain, in 2021, only 2% of the production of Prunus avium, P. cerasus and P. persica was certified; most of the production being CAC material (Martinez Salas, pers. comm., 2025). Consequently, in absence of evidence for relevant symptoms and economic impact in the last decades, the Fruit SEWG concluded that economic impact should be considered as acceptable.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data of economic impact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Ahmad M, Padder BA &amp; Shah MD (2024) Major viruses infecting temperate fruit crops and their impact on the fruit industry. Industrial Applications of Soil Microbes: Volume 4, p.300.</w:t>
      </w:r>
    </w:p>
    <w:p>
      <w:pPr>
        <w:numPr>
          <w:ilvl w:val="0"/>
          <w:numId w:val="1"/>
        </w:numPr>
        <w:spacing w:before="0" w:after="0" w:line="240" w:lineRule="auto"/>
        <w:jc w:val="left"/>
        <w:rPr>
          <w:color w:val="0200C9"/>
          <w:sz w:val="24"/>
          <w:szCs w:val="24"/>
        </w:rPr>
      </w:pPr>
      <w:r>
        <w:rPr>
          <w:color w:val="0200C9"/>
          <w:sz w:val="24"/>
          <w:szCs w:val="24"/>
        </w:rPr>
        <w:t xml:space="preserve">EFSA (2013) EFSA Panel on Plant Health (PLH). Scientific opinion on the risk to plant health posed by Arabis mosaic virus, Raspberry ringspot virus, Strawberry latent ringspot virus and Tomato blackring virus to the EU territory with the identification and evaluation of risk reduction options. EFSA Journal 11(10), 3377. Available at </w:t>
      </w:r>
      <w:hyperlink r:id="rId41266a042528740f0" w:history="1">
        <w:r>
          <w:rPr>
            <w:color w:val="0200C9"/>
            <w:sz w:val="24"/>
            <w:szCs w:val="24"/>
          </w:rPr>
          <w:t xml:space="preserve">https://efsa.onlinelibrary.wiley.com/doi/epdf/10.2903/j.efsa.2013.3377</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1027346">
    <w:multiLevelType w:val="hybridMultilevel"/>
    <w:lvl w:ilvl="0" w:tplc="74296455">
      <w:start w:val="1"/>
      <w:numFmt w:val="decimal"/>
      <w:lvlText w:val="%1."/>
      <w:lvlJc w:val="left"/>
      <w:pPr>
        <w:ind w:left="720" w:hanging="360"/>
      </w:pPr>
    </w:lvl>
    <w:lvl w:ilvl="1" w:tplc="74296455" w:tentative="1">
      <w:start w:val="1"/>
      <w:numFmt w:val="lowerLetter"/>
      <w:lvlText w:val="%2."/>
      <w:lvlJc w:val="left"/>
      <w:pPr>
        <w:ind w:left="1440" w:hanging="360"/>
      </w:pPr>
    </w:lvl>
    <w:lvl w:ilvl="2" w:tplc="74296455" w:tentative="1">
      <w:start w:val="1"/>
      <w:numFmt w:val="lowerRoman"/>
      <w:lvlText w:val="%3."/>
      <w:lvlJc w:val="right"/>
      <w:pPr>
        <w:ind w:left="2160" w:hanging="180"/>
      </w:pPr>
    </w:lvl>
    <w:lvl w:ilvl="3" w:tplc="74296455" w:tentative="1">
      <w:start w:val="1"/>
      <w:numFmt w:val="decimal"/>
      <w:lvlText w:val="%4."/>
      <w:lvlJc w:val="left"/>
      <w:pPr>
        <w:ind w:left="2880" w:hanging="360"/>
      </w:pPr>
    </w:lvl>
    <w:lvl w:ilvl="4" w:tplc="74296455" w:tentative="1">
      <w:start w:val="1"/>
      <w:numFmt w:val="lowerLetter"/>
      <w:lvlText w:val="%5."/>
      <w:lvlJc w:val="left"/>
      <w:pPr>
        <w:ind w:left="3600" w:hanging="360"/>
      </w:pPr>
    </w:lvl>
    <w:lvl w:ilvl="5" w:tplc="74296455" w:tentative="1">
      <w:start w:val="1"/>
      <w:numFmt w:val="lowerRoman"/>
      <w:lvlText w:val="%6."/>
      <w:lvlJc w:val="right"/>
      <w:pPr>
        <w:ind w:left="4320" w:hanging="180"/>
      </w:pPr>
    </w:lvl>
    <w:lvl w:ilvl="6" w:tplc="74296455" w:tentative="1">
      <w:start w:val="1"/>
      <w:numFmt w:val="decimal"/>
      <w:lvlText w:val="%7."/>
      <w:lvlJc w:val="left"/>
      <w:pPr>
        <w:ind w:left="5040" w:hanging="360"/>
      </w:pPr>
    </w:lvl>
    <w:lvl w:ilvl="7" w:tplc="74296455" w:tentative="1">
      <w:start w:val="1"/>
      <w:numFmt w:val="lowerLetter"/>
      <w:lvlText w:val="%8."/>
      <w:lvlJc w:val="left"/>
      <w:pPr>
        <w:ind w:left="5760" w:hanging="360"/>
      </w:pPr>
    </w:lvl>
    <w:lvl w:ilvl="8" w:tplc="74296455" w:tentative="1">
      <w:start w:val="1"/>
      <w:numFmt w:val="lowerRoman"/>
      <w:lvlText w:val="%9."/>
      <w:lvlJc w:val="right"/>
      <w:pPr>
        <w:ind w:left="6480" w:hanging="180"/>
      </w:pPr>
    </w:lvl>
  </w:abstractNum>
  <w:abstractNum w:abstractNumId="61027345">
    <w:multiLevelType w:val="hybridMultilevel"/>
    <w:lvl w:ilvl="0" w:tplc="5180127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1027345">
    <w:abstractNumId w:val="61027345"/>
  </w:num>
  <w:num w:numId="61027346">
    <w:abstractNumId w:val="6102734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15189876" Type="http://schemas.microsoft.com/office/2011/relationships/commentsExtended" Target="commentsExtended.xml"/><Relationship Id="rId67866a04252873cb4" Type="http://schemas.openxmlformats.org/officeDocument/2006/relationships/hyperlink" Target="https://gd.eppo.int/" TargetMode="External"/><Relationship Id="rId41266a042528740f0" Type="http://schemas.openxmlformats.org/officeDocument/2006/relationships/hyperlink" Target="https://efsa.onlinelibrary.wiley.com/doi/epdf/10.2903/j.efsa.2013.3377"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