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Pseudomonas syringae pv. syringae (PSDMSY)</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Bacteria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Yes</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It was considered that listing at pathovar level was justified because of importance of host specialization within Pseudomonas syringae</w:t>
      </w:r>
      <w:r>
        <w:rPr>
          <w:color w:val="0200C9"/>
          <w:sz w:val="24"/>
          <w:szCs w:val="24"/>
        </w:rPr>
        <w:br/>
        <w:t xml:space="preserve">Pseudomonas syringae pv</w:t>
      </w:r>
      <w:r>
        <w:rPr>
          <w:color w:val="0200C9"/>
          <w:sz w:val="24"/>
          <w:szCs w:val="24"/>
        </w:rPr>
        <w:br/>
        <w:t xml:space="preserve">- actinidiae – infects kiwi (plant test)</w:t>
      </w:r>
      <w:r>
        <w:rPr>
          <w:color w:val="0200C9"/>
          <w:sz w:val="24"/>
          <w:szCs w:val="24"/>
        </w:rPr>
        <w:br/>
        <w:t xml:space="preserve">- lachrymans – infects Cucurbitaceae (seed test)</w:t>
      </w:r>
      <w:r>
        <w:rPr>
          <w:color w:val="0200C9"/>
          <w:sz w:val="24"/>
          <w:szCs w:val="24"/>
        </w:rPr>
        <w:br/>
        <w:t xml:space="preserve">- maculicola – infects radish and cabbage (seed test)</w:t>
      </w:r>
      <w:r>
        <w:rPr>
          <w:color w:val="0200C9"/>
          <w:sz w:val="24"/>
          <w:szCs w:val="24"/>
        </w:rPr>
        <w:br/>
        <w:t xml:space="preserve">- syringae – infects bean (seed test), diagnostics apple</w:t>
      </w:r>
      <w:r>
        <w:rPr>
          <w:color w:val="0200C9"/>
          <w:sz w:val="24"/>
          <w:szCs w:val="24"/>
        </w:rPr>
        <w:br/>
        <w:t xml:space="preserve">- pisi – infects peas (seed test)</w:t>
      </w:r>
      <w:r>
        <w:rPr>
          <w:color w:val="0200C9"/>
          <w:sz w:val="24"/>
          <w:szCs w:val="24"/>
        </w:rPr>
        <w:br/>
        <w:t xml:space="preserve">- porri – infects leek &amp; chives (Allium) (seed test)</w:t>
      </w:r>
      <w:r>
        <w:rPr>
          <w:color w:val="0200C9"/>
          <w:sz w:val="24"/>
          <w:szCs w:val="24"/>
        </w:rPr>
        <w:br/>
        <w:t xml:space="preserve">- tomato – infects tomato (seed test)</w:t>
      </w:r>
      <w:r>
        <w:rPr>
          <w:color w:val="0200C9"/>
          <w:sz w:val="24"/>
          <w:szCs w:val="24"/>
        </w:rPr>
        <w:br/>
        <w:t xml:space="preserve">- etc.</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P. syringae pv. syringae is widespread from tropical areas to northern Europe and Canada, Australia and New Zealand. It has been reported in the EU in Austria (present - CABI/EPPO, 2012), Belgium (present – Bradbury, 1986), Bulgaria (present - CAB International, 1988), Cyprus (present - Bradbury, 1986), Denmark (present - Bradbury, 1986), France (present - Bradbury, 1986), Germany (present - Bradbury, 1986), Greece (present - Bradbury, 1986), Hungary (present - Bradbury, 1986), Ireland (present - CAB International, 1988), Italy (present - CABI/EPPO, 2012), Latvia (present - CABI/EPPO, 2012), Lithuania (present - CABI/EPPO, 2012), Netherlands (present - Bradbury, 1986), Poland (present – Bradbury, 1986), Portugal (present - Bradbury, 1986), Romania (present - Bradbury, 986), Slovenia (present - Dreo et al. , 2004), Spain (present - CABI/EPPO, 2012), Sweden (present - Bradbury, 1986). Cited from CABI crop protection compendium (</w:t>
      </w:r>
      <w:hyperlink r:id="rId98716ab689c2782cb" w:history="1">
        <w:r>
          <w:rPr>
            <w:color w:val="0200C9"/>
            <w:sz w:val="24"/>
            <w:szCs w:val="24"/>
          </w:rPr>
          <w:t xml:space="preserve">https://www.cabidigitallibrary.org/doi/abs/10.1079/cabicompendium.45010</w:t>
        </w:r>
      </w:hyperlink>
      <w:r>
        <w:rPr>
          <w:color w:val="0200C9"/>
          <w:sz w:val="24"/>
          <w:szCs w:val="24"/>
        </w:rPr>
        <w:t xml:space="preserv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Prunus armeniaca (PRNAR)</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Inspection for 'Pseudomonas syringae pv. syringae' on apricot is recommended in EPPO Standard PM 4-30 Certification scheme for almond, apricot, peach and plum. However, in responses to the questionnaire, DE, FR and SI supported deregulation (or revising the threshold for FR). DE highlighted the unclear taxonomy making laboratory analysis difficult and the widespread presence of the bacteria as an epiphyte on plants. Evaluation continues applying the full methodology.</w:t>
      </w:r>
      <w:r>
        <w:rPr>
          <w:color w:val="0200C9"/>
          <w:sz w:val="24"/>
          <w:szCs w:val="24"/>
        </w:rPr>
        <w:br/>
        <w:t xml:space="preserve">Remark: The assessment performed covers the given host species as well as interspecific hybrids with other Prunus species.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Pseudomonas syringae pv. syringae can induce apical necrosis in mango, bacterial canker in Prunus spp., blister bark in apple and blossom blast in pear (e.g. Kennely et al., 2007). It can also cause bacterial canker in apricot (Prunus armeniaca). P. syringae pv. syringae strains able to infect apricot belong to phylogroup 2b and 2d (Parisi et al., 2019; Hulin et al., 2020).</w:t>
      </w:r>
      <w:r>
        <w:rPr>
          <w:color w:val="F30000"/>
          <w:sz w:val="24"/>
          <w:szCs w:val="24"/>
        </w:rPr>
        <w:br/>
        <w:t xml:space="preserve">P. syringae pv. syringae is found in soil and water and on plant surfaces worldwide. It is transmitted and disseminated through living plants and vegetative propagation material (CABI, 2020). Pseudomonas syringae can be isolated from apparently healthy plants without disease symptoms being evident for several years, indicating either an epiphytic phase (epiphytic member of the phyllosphere of healthy plants) or the presence of latent infections (Agrios, 2005; CABI, 2020). It is spread by wind driven rain, rain splash, windblown rain, direct contact with the host, insects such as flies and bees, and hands, handling of plants and tools, and movement of infected nursery stock. Under favorable conditions, the bacteria enters the plant through wounds or natural openings such as stomata, and multiply rapidly within the apoplast. Water soaking of tissues during heavy rains greatly favors penetration and invasion. Bacteria multiplies on the walls of host cells, which collapse after disruption of the cell membranes (Agrios, 2005).</w:t>
      </w:r>
      <w:r>
        <w:rPr>
          <w:color w:val="F30000"/>
          <w:sz w:val="24"/>
          <w:szCs w:val="24"/>
        </w:rPr>
        <w:br/>
        <w:t xml:space="preserve">In apricot, Pseudomonas syringae survives on plant surfaces, is spread by splashing rain, and is favored by high moisture and low temperatures in spring. The bacterium is commonly found on healthy as well as diseased plants and becomes pathogenic only on susceptible or predisposed trees (UC PMG, 2017 ).</w:t>
      </w:r>
      <w:r>
        <w:rPr>
          <w:color w:val="F30000"/>
          <w:sz w:val="24"/>
          <w:szCs w:val="24"/>
        </w:rPr>
        <w:br/>
        <w:t xml:space="preserve">Plants for planting can be a pathway for Pseudomonas syringae pv. syringae, however due to its extensive distribution in the EU and its ease of natural spread, plants for planting are not considered to be a significant pathway compared to others. The Fruit SEWG considered that most orchards or their surrounding are already infested with this pest (CABI, 2020; HORTIPENDIUM, 2013).</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606060"/>
          <w:sz w:val="24"/>
          <w:szCs w:val="24"/>
        </w:rPr>
        <w:t xml:space="preserve">Yes</w:t>
      </w:r>
      <w:r>
        <w:rPr>
          <w:color w:val="000000"/>
          <w:sz w:val="24"/>
          <w:szCs w:val="24"/>
          <w:u w:val="single"/>
        </w:rPr>
        <w:br/>
        <w:t xml:space="preserve">Justification:</w:t>
      </w:r>
      <w:r>
        <w:rPr>
          <w:color w:val="000000"/>
          <w:sz w:val="24"/>
          <w:szCs w:val="24"/>
        </w:rPr>
        <w:t xml:space="preserve">
</w:t>
      </w:r>
      <w:r>
        <w:rPr>
          <w:color w:val="606060"/>
          <w:sz w:val="24"/>
          <w:szCs w:val="24"/>
        </w:rPr>
        <w:t xml:space="preserve">In California, the disease is found almost exclusively in replanted orchards where ring nematodes flourish or in locations where spring frost is a problem. The disease is worse in low, gravelly, sandy spots, soils with shallow claypans (60-90 cm deep), or other soil conditions that lead to weakened growth. vigorous trees are less susceptible to bacterial canker, while young trees (2–8 years old) are most affected. The disease rarely occurs in the first year of planting unless the ground is not fumigated before planting. It is uncommon in nurseries (UC PMG, 2017).</w:t>
      </w:r>
      <w:r>
        <w:rPr>
          <w:color w:val="606060"/>
          <w:sz w:val="24"/>
          <w:szCs w:val="24"/>
        </w:rPr>
        <w:br/>
        <w:t xml:space="preserve">In north-eastern Italy, high sensitivity to Pseudomonas blight/canker of some recently introduced apricot cultivars seemed to be among the main reasons for the recent outbreaks. In Czech Republic, Poland and Slovakia, high differences among the cultivated varieties and their groups of origin were observed (metditerranean and Asian ones were reported more susceptible). Symptomatic sample collection mainly involved new apricot genotypes and never old, traditional varieties cultivated in the same region. In the worst-case scenario, apricot trees infected by Pseudomonas syringae pv syringae rapidly develop large cankers on branches and trunks within a few weeks during the spring and summer or die slowly within 2–3 years (Giovanardi et al., 2018).</w:t>
      </w:r>
      <w:r>
        <w:rPr>
          <w:color w:val="606060"/>
          <w:sz w:val="24"/>
          <w:szCs w:val="24"/>
        </w:rPr>
        <w:br/>
        <w:t xml:space="preserve">In Central Europe (northern limit of apricot growing area) the complex of Pseudomonas is one of the main components of the sudden apricot dieback (apoplexy) and common stone fruit dieback. The pest is common and widespread in practically all the growing areas.</w:t>
      </w:r>
      <w:r>
        <w:rPr>
          <w:color w:val="606060"/>
          <w:sz w:val="24"/>
          <w:szCs w:val="24"/>
        </w:rPr>
        <w:br/>
        <w:t xml:space="preserve">Severity highly depends also on the grafting level (less severe for higher grafting and interstem), plant variety and rootstock type, soil and weather conditions.</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606060"/>
          <w:sz w:val="24"/>
          <w:szCs w:val="24"/>
        </w:rPr>
        <w:t xml:space="preserve">Medium</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606060"/>
          <w:sz w:val="24"/>
          <w:szCs w:val="24"/>
        </w:rPr>
        <w:t xml:space="preserve">Although Pseudomonas syringae pv. syringae is an important disease in apricot, other circumstances (cultivar choice, circumstances under which trees are grown, replating problems - inoculum already present, presence of ring nematodes, etc.) seem to play an important role in the severity of the disease.</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606060"/>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606060"/>
          <w:sz w:val="24"/>
          <w:szCs w:val="24"/>
        </w:rPr>
        <w:t xml:space="preserve">Because disease management is still largely ineffective, a targeted implementation of a disease control strategy should be based on the knowledge of the plant pathogenic bacterial population structure and its features, together with correct agronomic practices, like pruning trees in late wintertime (march-april, for Hungary, Czech Republic, Switzerland and Germany), reducing irrigation and input of nitrate fertilizers, and spraying copper in late autumn to significantly reduce the overwintering inoculum. More tolerant varieties can also be used (Giovanardi et al., 2018; Parisi et al, 2020, Pánková et al., 2020).</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plants for planting is not a significant pathway</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CABI (2020) CPC Crop protection compendium: Pseudomonas syringae pv. syringae (bacterial canker or blast (stone and pome fruits)). 08042024. </w:t>
      </w:r>
      <w:hyperlink r:id="rId88546ab689c278dad" w:history="1">
        <w:r>
          <w:rPr>
            <w:color w:val="0200C9"/>
            <w:sz w:val="24"/>
            <w:szCs w:val="24"/>
          </w:rPr>
          <w:t xml:space="preserve">https://www.cabidigitallibrary.org/doi/abs/10.1079/cabicompendium.45010</w:t>
        </w:r>
      </w:hyperlink>
    </w:p>
    <w:p>
      <w:pPr>
        <w:numPr>
          <w:ilvl w:val="0"/>
          <w:numId w:val="1"/>
        </w:numPr>
        <w:spacing w:before="0" w:after="0" w:line="240" w:lineRule="auto"/>
        <w:jc w:val="left"/>
        <w:rPr>
          <w:color w:val="0200C9"/>
          <w:sz w:val="24"/>
          <w:szCs w:val="24"/>
        </w:rPr>
      </w:pPr>
      <w:r>
        <w:rPr>
          <w:color w:val="0200C9"/>
          <w:sz w:val="24"/>
          <w:szCs w:val="24"/>
        </w:rPr>
        <w:t xml:space="preserve">Giovanardi D, Ferrante P, Scortichini M, &amp; Stefani,E (2018). Characterisation of Pseudomonas syringae isolates from apricot orchards in north-eastern Italy. European Journal of Plant Pathology 151, 901-917.</w:t>
      </w:r>
    </w:p>
    <w:p>
      <w:pPr>
        <w:numPr>
          <w:ilvl w:val="0"/>
          <w:numId w:val="1"/>
        </w:numPr>
        <w:spacing w:before="0" w:after="0" w:line="240" w:lineRule="auto"/>
        <w:jc w:val="left"/>
        <w:rPr>
          <w:color w:val="0200C9"/>
          <w:sz w:val="24"/>
          <w:szCs w:val="24"/>
        </w:rPr>
      </w:pPr>
      <w:r>
        <w:rPr>
          <w:color w:val="0200C9"/>
          <w:sz w:val="24"/>
          <w:szCs w:val="24"/>
        </w:rPr>
        <w:t xml:space="preserve">HORTIPENDIUM (2013) Pseudomonas syringae pv. syringae. </w:t>
      </w:r>
      <w:hyperlink r:id="rId11036ab689c278df0" w:history="1">
        <w:r>
          <w:rPr>
            <w:color w:val="0200C9"/>
            <w:sz w:val="24"/>
            <w:szCs w:val="24"/>
          </w:rPr>
          <w:t xml:space="preserve">https://hortipendium.de/Pseudomonas_syringae_pv._syringae</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Hulin MT, Jackson RW, Harrison RJ &amp; Mansfield JW (2020). Cherry picking by pseudomonads: After a century of research on canker, genomics provides insights into the evolution of pathogenicity towards stone fruits. Plant Pathology 69(6), 962-978. doi: 10.1111/ppa.13189.</w:t>
      </w:r>
    </w:p>
    <w:p>
      <w:pPr>
        <w:numPr>
          <w:ilvl w:val="0"/>
          <w:numId w:val="1"/>
        </w:numPr>
        <w:spacing w:before="0" w:after="0" w:line="240" w:lineRule="auto"/>
        <w:jc w:val="left"/>
        <w:rPr>
          <w:color w:val="0200C9"/>
          <w:sz w:val="24"/>
          <w:szCs w:val="24"/>
        </w:rPr>
      </w:pPr>
      <w:r>
        <w:rPr>
          <w:color w:val="0200C9"/>
          <w:sz w:val="24"/>
          <w:szCs w:val="24"/>
        </w:rPr>
        <w:t xml:space="preserve">Kennelly MM, Cazorla FM, de Vicente A, Ramos C &amp; Sundin GW (2007) Pseudomonas syringae diseases of fruit trees: progress toward understanding and control. Plant Disease 91(1), 4-17.</w:t>
      </w:r>
    </w:p>
    <w:p>
      <w:pPr>
        <w:numPr>
          <w:ilvl w:val="0"/>
          <w:numId w:val="1"/>
        </w:numPr>
        <w:spacing w:before="0" w:after="0" w:line="240" w:lineRule="auto"/>
        <w:jc w:val="left"/>
        <w:rPr>
          <w:color w:val="0200C9"/>
          <w:sz w:val="24"/>
          <w:szCs w:val="24"/>
        </w:rPr>
      </w:pPr>
      <w:r>
        <w:rPr>
          <w:color w:val="0200C9"/>
          <w:sz w:val="24"/>
          <w:szCs w:val="24"/>
        </w:rPr>
        <w:t xml:space="preserve">Lamichhane JR, Varvaro L, Parisi L, Audergon J-M &amp; Morris CE (2014) Disease and frost damage of woody plants caused by Pseudomonas syringae: seeing the forest for the trees. Advances in Agronomy 126, 235–95.</w:t>
      </w:r>
    </w:p>
    <w:p>
      <w:pPr>
        <w:numPr>
          <w:ilvl w:val="0"/>
          <w:numId w:val="1"/>
        </w:numPr>
        <w:spacing w:before="0" w:after="0" w:line="240" w:lineRule="auto"/>
        <w:jc w:val="left"/>
        <w:rPr>
          <w:color w:val="0200C9"/>
          <w:sz w:val="24"/>
          <w:szCs w:val="24"/>
        </w:rPr>
      </w:pPr>
      <w:r>
        <w:rPr>
          <w:color w:val="0200C9"/>
          <w:sz w:val="24"/>
          <w:szCs w:val="24"/>
        </w:rPr>
        <w:t xml:space="preserve">Parisi L, Morgaint B, Garcia JB, Guilbaud C, Chandeysson C, Bourgeay JF, Moronvalle A, Brun L, Brachet ML &amp; Morris CE (2019) Bacteria from four phylogroups of the Pseudomonas syringae complex can cause bacterial canker of apricot. Plant Pathology 68(7), pp.1249-1258.</w:t>
      </w:r>
    </w:p>
    <w:p>
      <w:pPr>
        <w:numPr>
          <w:ilvl w:val="0"/>
          <w:numId w:val="1"/>
        </w:numPr>
        <w:spacing w:before="0" w:after="0" w:line="240" w:lineRule="auto"/>
        <w:jc w:val="left"/>
        <w:rPr>
          <w:color w:val="0200C9"/>
          <w:sz w:val="24"/>
          <w:szCs w:val="24"/>
        </w:rPr>
      </w:pPr>
      <w:r>
        <w:rPr>
          <w:color w:val="0200C9"/>
          <w:sz w:val="24"/>
          <w:szCs w:val="24"/>
        </w:rPr>
        <w:t xml:space="preserve">Pánková I &amp;Krejzarová R (2020) Detekce původců korových nekróz a předčasného odumírání meruněk a broskvoní, především bakteriemi komplexu Pseudomonas syringae, v množitelských materiálech a v produkčních sadech. Výzkumný ústav rostlinné výroby, v. v. i., Praha, 2020. ISBN 978-80-7427-330-8</w:t>
      </w:r>
    </w:p>
    <w:p>
      <w:pPr>
        <w:numPr>
          <w:ilvl w:val="0"/>
          <w:numId w:val="1"/>
        </w:numPr>
        <w:spacing w:before="0" w:after="0" w:line="240" w:lineRule="auto"/>
        <w:jc w:val="left"/>
        <w:rPr>
          <w:color w:val="0200C9"/>
          <w:sz w:val="24"/>
          <w:szCs w:val="24"/>
        </w:rPr>
      </w:pPr>
      <w:r>
        <w:rPr>
          <w:color w:val="0200C9"/>
          <w:sz w:val="24"/>
          <w:szCs w:val="24"/>
        </w:rPr>
        <w:t xml:space="preserve">UC IPM (2017) Bacterial canker. In Pest management guidelines – Apricot. Publication 3433. University of California Agriculture and Natural Resources. Pages 59-60</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0037608">
    <w:multiLevelType w:val="hybridMultilevel"/>
    <w:lvl w:ilvl="0" w:tplc="75731912">
      <w:start w:val="1"/>
      <w:numFmt w:val="decimal"/>
      <w:lvlText w:val="%1."/>
      <w:lvlJc w:val="left"/>
      <w:pPr>
        <w:ind w:left="720" w:hanging="360"/>
      </w:pPr>
    </w:lvl>
    <w:lvl w:ilvl="1" w:tplc="75731912" w:tentative="1">
      <w:start w:val="1"/>
      <w:numFmt w:val="lowerLetter"/>
      <w:lvlText w:val="%2."/>
      <w:lvlJc w:val="left"/>
      <w:pPr>
        <w:ind w:left="1440" w:hanging="360"/>
      </w:pPr>
    </w:lvl>
    <w:lvl w:ilvl="2" w:tplc="75731912" w:tentative="1">
      <w:start w:val="1"/>
      <w:numFmt w:val="lowerRoman"/>
      <w:lvlText w:val="%3."/>
      <w:lvlJc w:val="right"/>
      <w:pPr>
        <w:ind w:left="2160" w:hanging="180"/>
      </w:pPr>
    </w:lvl>
    <w:lvl w:ilvl="3" w:tplc="75731912" w:tentative="1">
      <w:start w:val="1"/>
      <w:numFmt w:val="decimal"/>
      <w:lvlText w:val="%4."/>
      <w:lvlJc w:val="left"/>
      <w:pPr>
        <w:ind w:left="2880" w:hanging="360"/>
      </w:pPr>
    </w:lvl>
    <w:lvl w:ilvl="4" w:tplc="75731912" w:tentative="1">
      <w:start w:val="1"/>
      <w:numFmt w:val="lowerLetter"/>
      <w:lvlText w:val="%5."/>
      <w:lvlJc w:val="left"/>
      <w:pPr>
        <w:ind w:left="3600" w:hanging="360"/>
      </w:pPr>
    </w:lvl>
    <w:lvl w:ilvl="5" w:tplc="75731912" w:tentative="1">
      <w:start w:val="1"/>
      <w:numFmt w:val="lowerRoman"/>
      <w:lvlText w:val="%6."/>
      <w:lvlJc w:val="right"/>
      <w:pPr>
        <w:ind w:left="4320" w:hanging="180"/>
      </w:pPr>
    </w:lvl>
    <w:lvl w:ilvl="6" w:tplc="75731912" w:tentative="1">
      <w:start w:val="1"/>
      <w:numFmt w:val="decimal"/>
      <w:lvlText w:val="%7."/>
      <w:lvlJc w:val="left"/>
      <w:pPr>
        <w:ind w:left="5040" w:hanging="360"/>
      </w:pPr>
    </w:lvl>
    <w:lvl w:ilvl="7" w:tplc="75731912" w:tentative="1">
      <w:start w:val="1"/>
      <w:numFmt w:val="lowerLetter"/>
      <w:lvlText w:val="%8."/>
      <w:lvlJc w:val="left"/>
      <w:pPr>
        <w:ind w:left="5760" w:hanging="360"/>
      </w:pPr>
    </w:lvl>
    <w:lvl w:ilvl="8" w:tplc="75731912" w:tentative="1">
      <w:start w:val="1"/>
      <w:numFmt w:val="lowerRoman"/>
      <w:lvlText w:val="%9."/>
      <w:lvlJc w:val="right"/>
      <w:pPr>
        <w:ind w:left="6480" w:hanging="180"/>
      </w:pPr>
    </w:lvl>
  </w:abstractNum>
  <w:abstractNum w:abstractNumId="90037607">
    <w:multiLevelType w:val="hybridMultilevel"/>
    <w:lvl w:ilvl="0" w:tplc="1073140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0037607">
    <w:abstractNumId w:val="90037607"/>
  </w:num>
  <w:num w:numId="90037608">
    <w:abstractNumId w:val="9003760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685699968" Type="http://schemas.microsoft.com/office/2011/relationships/commentsExtended" Target="commentsExtended.xml"/><Relationship Id="rId98716ab689c2782cb" Type="http://schemas.openxmlformats.org/officeDocument/2006/relationships/hyperlink" Target="https://www.cabidigitallibrary.org/doi/abs/10.1079/cabicompendium.45010" TargetMode="External"/><Relationship Id="rId88546ab689c278dad" Type="http://schemas.openxmlformats.org/officeDocument/2006/relationships/hyperlink" Target="https://www.cabidigitallibrary.org/doi/abs/10.1079/cabicompendium.45010" TargetMode="External"/><Relationship Id="rId11036ab689c278df0" Type="http://schemas.openxmlformats.org/officeDocument/2006/relationships/hyperlink" Target="https://hortipendium.de/Pseudomonas_syringae_pv._syringae"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