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syringae (PSDMSY)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was considered that listing at pathovar level was justified because of importance of host specialization within Pseudomonas syringae</w:t>
      </w:r>
      <w:r>
        <w:rPr>
          <w:color w:val="0200C9"/>
          <w:sz w:val="24"/>
          <w:szCs w:val="24"/>
        </w:rPr>
        <w:br/>
        <w:t xml:space="preserve">Pseudomonas syringae pv</w:t>
      </w:r>
      <w:r>
        <w:rPr>
          <w:color w:val="0200C9"/>
          <w:sz w:val="24"/>
          <w:szCs w:val="24"/>
        </w:rPr>
        <w:br/>
        <w:t xml:space="preserve">- actinidiae – infects kiwi (plant test)</w:t>
      </w:r>
      <w:r>
        <w:rPr>
          <w:color w:val="0200C9"/>
          <w:sz w:val="24"/>
          <w:szCs w:val="24"/>
        </w:rPr>
        <w:br/>
        <w:t xml:space="preserve">- lachrymans – infects Cucurbitaceae (seed test)</w:t>
      </w:r>
      <w:r>
        <w:rPr>
          <w:color w:val="0200C9"/>
          <w:sz w:val="24"/>
          <w:szCs w:val="24"/>
        </w:rPr>
        <w:br/>
        <w:t xml:space="preserve">- maculicola – infects radish and cabbage (seed test)</w:t>
      </w:r>
      <w:r>
        <w:rPr>
          <w:color w:val="0200C9"/>
          <w:sz w:val="24"/>
          <w:szCs w:val="24"/>
        </w:rPr>
        <w:br/>
        <w:t xml:space="preserve">- syringae – infects bean (seed test), diagnostics apple</w:t>
      </w:r>
      <w:r>
        <w:rPr>
          <w:color w:val="0200C9"/>
          <w:sz w:val="24"/>
          <w:szCs w:val="24"/>
        </w:rPr>
        <w:br/>
        <w:t xml:space="preserve">- pisi – infects peas (seed test)</w:t>
      </w:r>
      <w:r>
        <w:rPr>
          <w:color w:val="0200C9"/>
          <w:sz w:val="24"/>
          <w:szCs w:val="24"/>
        </w:rPr>
        <w:br/>
        <w:t xml:space="preserve">- porri – infects leek &amp; chives (Allium) (seed test)</w:t>
      </w:r>
      <w:r>
        <w:rPr>
          <w:color w:val="0200C9"/>
          <w:sz w:val="24"/>
          <w:szCs w:val="24"/>
        </w:rPr>
        <w:br/>
        <w:t xml:space="preserve">- tomato – infects tomato (seed test)</w:t>
      </w:r>
      <w:r>
        <w:rPr>
          <w:color w:val="0200C9"/>
          <w:sz w:val="24"/>
          <w:szCs w:val="24"/>
        </w:rPr>
        <w:br/>
        <w:t xml:space="preserve">- etc.</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 syringae pv. syringae is widespread from tropical areas to northern Europe and Canada, Australia and New Zealand. It has been reported in the EU in Austria (present - CABI/EPPO, 2012), Belgium (present – Bradbury, 1986), Bulgaria (present - CAB International, 1988), Cyprus (present - Bradbury, 1986), Denmark (present - Bradbury, 1986), France (present - Bradbury, 1986), Germany (present - Bradbury, 1986), Greece (present - Bradbury, 1986), Hungary (present - Bradbury, 1986), Ireland (present - CAB International, 1988), Italy (present - CABI/EPPO, 2012), Latvia (present - CABI/EPPO, 2012), Lithuania (present - CABI/EPPO, 2012), Netherlands (present - Bradbury, 1986), Poland (present – Bradbury, 1986), Portugal (present - Bradbury, 1986), Romania (present - Bradbury, 986), Slovenia (present - Dreo et al. , 2004), Spain (present - CABI/EPPO, 2012), Sweden (present - Bradbury, 1986). Cited from CABI crop protection compendium (</w:t>
      </w:r>
      <w:hyperlink r:id="rId79166a7b277ebfe7e" w:history="1">
        <w:r>
          <w:rPr>
            <w:color w:val="0200C9"/>
            <w:sz w:val="24"/>
            <w:szCs w:val="24"/>
          </w:rPr>
          <w:t xml:space="preserve">https://www.cabidigitallibrary.org/doi/abs/10.1079/cabicompendium.45010</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syringae pv. syringae can cause bacterial blister bark in apple. The disease can be visible on the bark of apple trees in the spring. Infected regions enlarge and can completely girdle branches. Beneath the outer, tan epidermal layer of the blister is a spongy bark layer of green cells. The blister dries and then flakes off to expose underlying necrotic tissue. Necrosis usually develops at the junction of twigs and branches, at buds, and at pruning wounds. Blight of fruit spurs is found in some orchards. Dead blossoms are dark brown, but the bark surrounding the spurs is usually unaffected. Lesions extending along branches and the main trunk develop early in the summer. Some branches often exhibit terminal dieback, and if the trunk is girdled, the tree dies. The disease is most important on the cultivars Starkrimson, Top Red Delicious, Oregon Spur Delicious, Redchief, Top Red One, Galaxy, Smoothee, and Mondial Gala and on the rootstock Merton 793. Other cultivars that show symptoms include Golden Delicious, Granny Smith, and Starking Delicious (Mansvelt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Canker diseases of fruit trees caused by P. syringae pv. syringae are widespread and may be devastating, causing great losses or requiring much effort to protect plants from them (CABI, 2020).</w:t>
      </w:r>
      <w:r>
        <w:rPr>
          <w:color w:val="606060"/>
          <w:sz w:val="24"/>
          <w:szCs w:val="24"/>
        </w:rPr>
        <w:br/>
        <w:t xml:space="preserve">Remark: Wet weather, high relative humidity, and relatively cool (15-25°C) spring temperatures favors disease development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Use of healthy propagating material, inspection of certified and CAC material and ornamentals several times a year at appropriate vegetative stages, isolation distances between nurseries and other sources of inoculum (host plants in public green, commercial orchards), sampling and testing of certified material. In case of CAC visual inspection, in case of doubts sampling and testing, destroying the infected plants in nursery and additional checks of infested lots.</w:t>
      </w:r>
      <w:r>
        <w:rPr>
          <w:color w:val="606060"/>
          <w:sz w:val="24"/>
          <w:szCs w:val="24"/>
        </w:rPr>
        <w:br/>
        <w:t xml:space="preserve">Good agricultural practices, fungicide treatments (if available active substances), avoiding overfertilization and excessive irrigation, use of tolerant /resistant rootstocks and varieties, if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44186a7b277ec02e3"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64526a7b277ec0347"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71675">
    <w:multiLevelType w:val="hybridMultilevel"/>
    <w:lvl w:ilvl="0" w:tplc="46094151">
      <w:start w:val="1"/>
      <w:numFmt w:val="decimal"/>
      <w:lvlText w:val="%1."/>
      <w:lvlJc w:val="left"/>
      <w:pPr>
        <w:ind w:left="720" w:hanging="360"/>
      </w:pPr>
    </w:lvl>
    <w:lvl w:ilvl="1" w:tplc="46094151" w:tentative="1">
      <w:start w:val="1"/>
      <w:numFmt w:val="lowerLetter"/>
      <w:lvlText w:val="%2."/>
      <w:lvlJc w:val="left"/>
      <w:pPr>
        <w:ind w:left="1440" w:hanging="360"/>
      </w:pPr>
    </w:lvl>
    <w:lvl w:ilvl="2" w:tplc="46094151" w:tentative="1">
      <w:start w:val="1"/>
      <w:numFmt w:val="lowerRoman"/>
      <w:lvlText w:val="%3."/>
      <w:lvlJc w:val="right"/>
      <w:pPr>
        <w:ind w:left="2160" w:hanging="180"/>
      </w:pPr>
    </w:lvl>
    <w:lvl w:ilvl="3" w:tplc="46094151" w:tentative="1">
      <w:start w:val="1"/>
      <w:numFmt w:val="decimal"/>
      <w:lvlText w:val="%4."/>
      <w:lvlJc w:val="left"/>
      <w:pPr>
        <w:ind w:left="2880" w:hanging="360"/>
      </w:pPr>
    </w:lvl>
    <w:lvl w:ilvl="4" w:tplc="46094151" w:tentative="1">
      <w:start w:val="1"/>
      <w:numFmt w:val="lowerLetter"/>
      <w:lvlText w:val="%5."/>
      <w:lvlJc w:val="left"/>
      <w:pPr>
        <w:ind w:left="3600" w:hanging="360"/>
      </w:pPr>
    </w:lvl>
    <w:lvl w:ilvl="5" w:tplc="46094151" w:tentative="1">
      <w:start w:val="1"/>
      <w:numFmt w:val="lowerRoman"/>
      <w:lvlText w:val="%6."/>
      <w:lvlJc w:val="right"/>
      <w:pPr>
        <w:ind w:left="4320" w:hanging="180"/>
      </w:pPr>
    </w:lvl>
    <w:lvl w:ilvl="6" w:tplc="46094151" w:tentative="1">
      <w:start w:val="1"/>
      <w:numFmt w:val="decimal"/>
      <w:lvlText w:val="%7."/>
      <w:lvlJc w:val="left"/>
      <w:pPr>
        <w:ind w:left="5040" w:hanging="360"/>
      </w:pPr>
    </w:lvl>
    <w:lvl w:ilvl="7" w:tplc="46094151" w:tentative="1">
      <w:start w:val="1"/>
      <w:numFmt w:val="lowerLetter"/>
      <w:lvlText w:val="%8."/>
      <w:lvlJc w:val="left"/>
      <w:pPr>
        <w:ind w:left="5760" w:hanging="360"/>
      </w:pPr>
    </w:lvl>
    <w:lvl w:ilvl="8" w:tplc="46094151" w:tentative="1">
      <w:start w:val="1"/>
      <w:numFmt w:val="lowerRoman"/>
      <w:lvlText w:val="%9."/>
      <w:lvlJc w:val="right"/>
      <w:pPr>
        <w:ind w:left="6480" w:hanging="180"/>
      </w:pPr>
    </w:lvl>
  </w:abstractNum>
  <w:abstractNum w:abstractNumId="51271674">
    <w:multiLevelType w:val="hybridMultilevel"/>
    <w:lvl w:ilvl="0" w:tplc="469602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71674">
    <w:abstractNumId w:val="51271674"/>
  </w:num>
  <w:num w:numId="51271675">
    <w:abstractNumId w:val="512716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3759875" Type="http://schemas.microsoft.com/office/2011/relationships/commentsExtended" Target="commentsExtended.xml"/><Relationship Id="rId79166a7b277ebfe7e" Type="http://schemas.openxmlformats.org/officeDocument/2006/relationships/hyperlink" Target="https://www.cabidigitallibrary.org/doi/abs/10.1079/cabicompendium.45010" TargetMode="External"/><Relationship Id="rId44186a7b277ec02e3" Type="http://schemas.openxmlformats.org/officeDocument/2006/relationships/hyperlink" Target="https://www.cabidigitallibrary.org/doi/abs/10.1079/cabicompendium.45010" TargetMode="External"/><Relationship Id="rId64526a7b277ec0347" Type="http://schemas.openxmlformats.org/officeDocument/2006/relationships/hyperlink" Target="https://hortipendium.de/Pseudomonas_syringae_pv._syringa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