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syringae pv. syringae (PSDMSY)</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was considered that listing at pathovar level was justified because of importance of host specialization within Pseudomonas syringae</w:t>
      </w:r>
      <w:r>
        <w:rPr>
          <w:color w:val="0200C9"/>
          <w:sz w:val="24"/>
          <w:szCs w:val="24"/>
        </w:rPr>
        <w:br/>
        <w:t xml:space="preserve">Pseudomonas syringae pv</w:t>
      </w:r>
      <w:r>
        <w:rPr>
          <w:color w:val="0200C9"/>
          <w:sz w:val="24"/>
          <w:szCs w:val="24"/>
        </w:rPr>
        <w:br/>
        <w:t xml:space="preserve">- actinidiae – infects kiwi (plant test)</w:t>
      </w:r>
      <w:r>
        <w:rPr>
          <w:color w:val="0200C9"/>
          <w:sz w:val="24"/>
          <w:szCs w:val="24"/>
        </w:rPr>
        <w:br/>
        <w:t xml:space="preserve">- lachrymans – infects Cucurbitaceae (seed test)</w:t>
      </w:r>
      <w:r>
        <w:rPr>
          <w:color w:val="0200C9"/>
          <w:sz w:val="24"/>
          <w:szCs w:val="24"/>
        </w:rPr>
        <w:br/>
        <w:t xml:space="preserve">- maculicola – infects radish and cabbage (seed test)</w:t>
      </w:r>
      <w:r>
        <w:rPr>
          <w:color w:val="0200C9"/>
          <w:sz w:val="24"/>
          <w:szCs w:val="24"/>
        </w:rPr>
        <w:br/>
        <w:t xml:space="preserve">- syringae – infects bean (seed test), diagnostics apple</w:t>
      </w:r>
      <w:r>
        <w:rPr>
          <w:color w:val="0200C9"/>
          <w:sz w:val="24"/>
          <w:szCs w:val="24"/>
        </w:rPr>
        <w:br/>
        <w:t xml:space="preserve">- pisi – infects peas (seed test)</w:t>
      </w:r>
      <w:r>
        <w:rPr>
          <w:color w:val="0200C9"/>
          <w:sz w:val="24"/>
          <w:szCs w:val="24"/>
        </w:rPr>
        <w:br/>
        <w:t xml:space="preserve">- porri – infects leek &amp; chives (Allium) (seed test)</w:t>
      </w:r>
      <w:r>
        <w:rPr>
          <w:color w:val="0200C9"/>
          <w:sz w:val="24"/>
          <w:szCs w:val="24"/>
        </w:rPr>
        <w:br/>
        <w:t xml:space="preserve">- tomato – infects tomato (seed test)</w:t>
      </w:r>
      <w:r>
        <w:rPr>
          <w:color w:val="0200C9"/>
          <w:sz w:val="24"/>
          <w:szCs w:val="24"/>
        </w:rPr>
        <w:br/>
        <w:t xml:space="preserve">- etc.</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 syringae pv. syringae is widespread from tropical areas to northern Europe and Canada, Australia and New Zealand. It has been reported in the EU in Austria (present - CABI/EPPO, 2012), Belgium (present – Bradbury, 1986), Bulgaria (present - CAB International, 1988), Cyprus (present - Bradbury, 1986), Denmark (present - Bradbury, 1986), France (present - Bradbury, 1986), Germany (present - Bradbury, 1986), Greece (present - Bradbury, 1986), Hungary (present - Bradbury, 1986), Ireland (present - CAB International, 1988), Italy (present - CABI/EPPO, 2012), Latvia (present - CABI/EPPO, 2012), Lithuania (present - CABI/EPPO, 2012), Netherlands (present - Bradbury, 1986), Poland (present – Bradbury, 1986), Portugal (present - Bradbury, 1986), Romania (present - Bradbury, 986), Slovenia (present - Dreo et al. , 2004), Spain (present - CABI/EPPO, 2012), Sweden (present - Bradbury, 1986). Cited from CABI crop protection compendium (</w:t>
      </w:r>
      <w:hyperlink r:id="rId81656a3fbbf476bfb" w:history="1">
        <w:r>
          <w:rPr>
            <w:color w:val="0200C9"/>
            <w:sz w:val="24"/>
            <w:szCs w:val="24"/>
          </w:rPr>
          <w:t xml:space="preserve">https://www.cabidigitallibrary.org/doi/abs/10.1079/cabicompendium.45010</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spp.' recommended in EPPO Standard PM 4-27 Pathogen-tested material of Malus, Pyrus and Cydonia. In responses to the questionnaire, DE, FR and SI supported deregulation (or revise threshold for FR). DE highlighted the unclear taxonomy making laboratory analysis difficult and the widespread presence of the bacteria as an epiphyte on plants. Evaluation continues applying full methodology.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 syringae pv. syringae is found in soil and water and on plant surfaces worldwide. It is transmitted and disseminated through living plants and vegetative propagation material (CABI, 2020). Pseudomonas syringae can be isolated from apparently healthy plants without disease symptoms being evident for several years, indicating either an epiphytic phase (epiphytic member of the phyllosphere of healthy plants) or the presence of latent infections (Agrios, 2005; CABI, 2020). It is spread by wind driven rain, rain splash, windblown rain, direct contact with the host, insects such as flies and bees, and hands, handling of plants and tools, and movement of infected nursery stock. Under favorable conditions, the bacteria enters the plant through wounds or natural openings such as stomata, and multiply rapidly within the apoplast. Water soaking of tissues during heavy rains greatly favors penetration and invasion. Bacteria multiplies on the walls of host cells, which collapse after disruption of the cell membranes (Agrios, 2005).</w:t>
      </w:r>
      <w:r>
        <w:rPr>
          <w:color w:val="F30000"/>
          <w:sz w:val="24"/>
          <w:szCs w:val="24"/>
        </w:rPr>
        <w:br/>
        <w:t xml:space="preserve">Plants for planting can be a pathway for Pseudomonas syringae pv. syringae, however due to its extensive distribution in the EU and its ease of natural spread, plants for planting are not considered to be a significant pathway compared to others. The Fruit SEWG considered that most orchards or their surrounding are already infested with this pest (CABI, 2020; HORTIPENDIUM,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P. syringae pv. syringae can cause bacterial blister bark in apple. The disease can be visible on the bark of apple trees in the spring. Infected regions enlarge and can completely girdle branches. Beneath the outer, tan epidermal layer of the blister is a spongy bark layer of green cells. The blister dries and then flakes off to expose underlying necrotic tissue. Necrosis usually develops at the junction of twigs and branches, at buds, and at pruning wounds. Blight of fruit spurs is found in some orchards. Dead blossoms are dark brown, but the bark surrounding the spurs is usually unaffected. Lesions extending along branches and the main trunk develop early in the summer. Some branches often exhibit terminal dieback, and if the trunk is girdled, the tree dies. The disease is most important on the cultivars Starkrimson, Top Red Delicious, Oregon Spur Delicious, Redchief, Top Red One, Galaxy, Smoothee, and Mondial Gala and on the rootstock Merton 793. Other cultivars that show symptoms include Golden Delicious, Granny Smith, and Starking Delicious (Mansvelt et al.,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Canker diseases of fruit trees caused by P. syringae pv. syringae are widespread and may be devastating, causing great losses or requiring much effort to protect plants from them (CABI, 2020).</w:t>
      </w:r>
      <w:r>
        <w:rPr>
          <w:color w:val="606060"/>
          <w:sz w:val="24"/>
          <w:szCs w:val="24"/>
        </w:rPr>
        <w:br/>
        <w:t xml:space="preserve">Remark: Wet weather, high relative humidity, and relatively cool (15-25°C) spring temperatures favors disease development (CABI, 2020).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Use of healthy propagating material, inspection of certified and CAC material and ornamentals several times a year at appropriate vegetative stages, isolation distances between nurseries and other sources of inoculum (host plants in public green, commercial orchards), sampling and testing of certified material. In case of CAC visual inspection, in case of doubts sampling and testing, destroying the infected plants in nursery and additional checks of infested lots.</w:t>
      </w:r>
      <w:r>
        <w:rPr>
          <w:color w:val="606060"/>
          <w:sz w:val="24"/>
          <w:szCs w:val="24"/>
        </w:rPr>
        <w:br/>
        <w:t xml:space="preserve">Good agricultural practices, fungicide treatments (if available active substances), avoiding overfertilization and excessive irrigation, use of tolerant /resistant rootstocks and varieties, if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 and lack of data on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Agrios GN (2005). Plant Pathology, 5th Edition. Elsevier Academic Press. 922 pp.</w:t>
      </w:r>
    </w:p>
    <w:p>
      <w:pPr>
        <w:numPr>
          <w:ilvl w:val="0"/>
          <w:numId w:val="1"/>
        </w:numPr>
        <w:spacing w:before="0" w:after="0" w:line="240" w:lineRule="auto"/>
        <w:jc w:val="left"/>
        <w:rPr>
          <w:color w:val="0200C9"/>
          <w:sz w:val="24"/>
          <w:szCs w:val="24"/>
        </w:rPr>
      </w:pPr>
      <w:r>
        <w:rPr>
          <w:color w:val="0200C9"/>
          <w:sz w:val="24"/>
          <w:szCs w:val="24"/>
        </w:rPr>
        <w:t xml:space="preserve">Bradbury JF, 1986. Guide to Plant Pathogenic Bacteria.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CABI/EPPO (2012). Pseudomonas syringae pv. syringae. [Distribution map]. Distribution Maps of Plant Diseases, No. October. Wallingford, UK: CABI, Map 336 (Edition 5).</w:t>
      </w:r>
    </w:p>
    <w:p>
      <w:pPr>
        <w:numPr>
          <w:ilvl w:val="0"/>
          <w:numId w:val="1"/>
        </w:numPr>
        <w:spacing w:before="0" w:after="0" w:line="240" w:lineRule="auto"/>
        <w:jc w:val="left"/>
        <w:rPr>
          <w:color w:val="0200C9"/>
          <w:sz w:val="24"/>
          <w:szCs w:val="24"/>
        </w:rPr>
      </w:pPr>
      <w:r>
        <w:rPr>
          <w:color w:val="0200C9"/>
          <w:sz w:val="24"/>
          <w:szCs w:val="24"/>
        </w:rPr>
        <w:t xml:space="preserve">CABI (2020) CPC Crop protection compendium: Pseudomonas syringae pv. syringae (bacterial canker or blast (stone and pome fruits)). 08042024. </w:t>
      </w:r>
      <w:hyperlink r:id="rId43876a3fbbf47705d" w:history="1">
        <w:r>
          <w:rPr>
            <w:color w:val="0200C9"/>
            <w:sz w:val="24"/>
            <w:szCs w:val="24"/>
          </w:rPr>
          <w:t xml:space="preserve">https://www.cabidigitallibrary.org/doi/abs/10.1079/cabicompendium.45010</w:t>
        </w:r>
      </w:hyperlink>
    </w:p>
    <w:p>
      <w:pPr>
        <w:numPr>
          <w:ilvl w:val="0"/>
          <w:numId w:val="1"/>
        </w:numPr>
        <w:spacing w:before="0" w:after="0" w:line="240" w:lineRule="auto"/>
        <w:jc w:val="left"/>
        <w:rPr>
          <w:color w:val="0200C9"/>
          <w:sz w:val="24"/>
          <w:szCs w:val="24"/>
        </w:rPr>
      </w:pPr>
      <w:r>
        <w:rPr>
          <w:color w:val="0200C9"/>
          <w:sz w:val="24"/>
          <w:szCs w:val="24"/>
        </w:rPr>
        <w:t xml:space="preserve">Chiriac IP, Lipşa FlD&amp; Ulea E (2014) Comparative study regarding in vitro infections with Erwinia amylovora and Pseudomonas syringae pv. syringae on pomaceae species. Cercetări Agronomice în Moldova XLVIII No. 1 (161) / 2015</w:t>
      </w:r>
    </w:p>
    <w:p>
      <w:pPr>
        <w:numPr>
          <w:ilvl w:val="0"/>
          <w:numId w:val="1"/>
        </w:numPr>
        <w:spacing w:before="0" w:after="0" w:line="240" w:lineRule="auto"/>
        <w:jc w:val="left"/>
        <w:rPr>
          <w:color w:val="0200C9"/>
          <w:sz w:val="24"/>
          <w:szCs w:val="24"/>
        </w:rPr>
      </w:pPr>
      <w:r>
        <w:rPr>
          <w:color w:val="0200C9"/>
          <w:sz w:val="24"/>
          <w:szCs w:val="24"/>
        </w:rPr>
        <w:t xml:space="preserve">Dreo T, Seljak G, Demšar T, Ravnikar M (2004). Bacterial spot of stone fruits in Slovenia. [Proceedings of the IOBC/WPRS Working Group 'Integrated plant protection in stone fruit', Opatjia, Croatia, 14-16 October 2002]. Bulletin OILB/SROP 27(5), 123-125.</w:t>
      </w:r>
    </w:p>
    <w:p>
      <w:pPr>
        <w:numPr>
          <w:ilvl w:val="0"/>
          <w:numId w:val="1"/>
        </w:numPr>
        <w:spacing w:before="0" w:after="0" w:line="240" w:lineRule="auto"/>
        <w:jc w:val="left"/>
        <w:rPr>
          <w:color w:val="0200C9"/>
          <w:sz w:val="24"/>
          <w:szCs w:val="24"/>
        </w:rPr>
      </w:pPr>
      <w:r>
        <w:rPr>
          <w:color w:val="0200C9"/>
          <w:sz w:val="24"/>
          <w:szCs w:val="24"/>
        </w:rPr>
        <w:t xml:space="preserve">CAB International, 1988. Pseudomonas syringae pv. syringae. [Distribution map]. Distribution Maps of Plant Diseases, April (Edition 4). Wallingford, UK: CAB International, Map 336.</w:t>
      </w:r>
    </w:p>
    <w:p>
      <w:pPr>
        <w:numPr>
          <w:ilvl w:val="0"/>
          <w:numId w:val="1"/>
        </w:numPr>
        <w:spacing w:before="0" w:after="0" w:line="240" w:lineRule="auto"/>
        <w:jc w:val="left"/>
        <w:rPr>
          <w:color w:val="0200C9"/>
          <w:sz w:val="24"/>
          <w:szCs w:val="24"/>
        </w:rPr>
      </w:pPr>
      <w:r>
        <w:rPr>
          <w:color w:val="0200C9"/>
          <w:sz w:val="24"/>
          <w:szCs w:val="24"/>
        </w:rPr>
        <w:t xml:space="preserve">HORTIPENDIUM (2013) Pseudomonas syringae pv. syringae. </w:t>
      </w:r>
      <w:hyperlink r:id="rId96466a3fbbf4770c0" w:history="1">
        <w:r>
          <w:rPr>
            <w:color w:val="0200C9"/>
            <w:sz w:val="24"/>
            <w:szCs w:val="24"/>
          </w:rPr>
          <w:t xml:space="preserve">https://hortipendium.de/Pseudomonas_syringae_pv._syringae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Mansvelt EL &amp; Hattingh MJ (2014). Bacterial blossom blast. In: Compendium of Apple and Pear Diseases and Pests, Second Edition (Eds. Sutton TB, Aldwinckle HS, Agnello AM &amp; Walgenbach JF). American Phytopathological Society - page 92.</w:t>
      </w:r>
    </w:p>
    <w:p>
      <w:pPr>
        <w:numPr>
          <w:ilvl w:val="0"/>
          <w:numId w:val="1"/>
        </w:numPr>
        <w:spacing w:before="0" w:after="0" w:line="240" w:lineRule="auto"/>
        <w:jc w:val="left"/>
        <w:rPr>
          <w:color w:val="0200C9"/>
          <w:sz w:val="24"/>
          <w:szCs w:val="24"/>
        </w:rPr>
      </w:pPr>
      <w:r>
        <w:rPr>
          <w:color w:val="0200C9"/>
          <w:sz w:val="24"/>
          <w:szCs w:val="24"/>
        </w:rPr>
        <w:t xml:space="preserve">Mansvelt EL, Hattingh MJ &amp; Sundin GW (2014). Bacterial blister bark. In: Compendium of Apple and Pear Diseases and Pests, Second Edition (Eds. Sutton TB, Aldwinckle HS, Agnello AM &amp; Walgenbach JF). American Phytopathological Society - pp 92-93.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839820">
    <w:multiLevelType w:val="hybridMultilevel"/>
    <w:lvl w:ilvl="0" w:tplc="60829858">
      <w:start w:val="1"/>
      <w:numFmt w:val="decimal"/>
      <w:lvlText w:val="%1."/>
      <w:lvlJc w:val="left"/>
      <w:pPr>
        <w:ind w:left="720" w:hanging="360"/>
      </w:pPr>
    </w:lvl>
    <w:lvl w:ilvl="1" w:tplc="60829858" w:tentative="1">
      <w:start w:val="1"/>
      <w:numFmt w:val="lowerLetter"/>
      <w:lvlText w:val="%2."/>
      <w:lvlJc w:val="left"/>
      <w:pPr>
        <w:ind w:left="1440" w:hanging="360"/>
      </w:pPr>
    </w:lvl>
    <w:lvl w:ilvl="2" w:tplc="60829858" w:tentative="1">
      <w:start w:val="1"/>
      <w:numFmt w:val="lowerRoman"/>
      <w:lvlText w:val="%3."/>
      <w:lvlJc w:val="right"/>
      <w:pPr>
        <w:ind w:left="2160" w:hanging="180"/>
      </w:pPr>
    </w:lvl>
    <w:lvl w:ilvl="3" w:tplc="60829858" w:tentative="1">
      <w:start w:val="1"/>
      <w:numFmt w:val="decimal"/>
      <w:lvlText w:val="%4."/>
      <w:lvlJc w:val="left"/>
      <w:pPr>
        <w:ind w:left="2880" w:hanging="360"/>
      </w:pPr>
    </w:lvl>
    <w:lvl w:ilvl="4" w:tplc="60829858" w:tentative="1">
      <w:start w:val="1"/>
      <w:numFmt w:val="lowerLetter"/>
      <w:lvlText w:val="%5."/>
      <w:lvlJc w:val="left"/>
      <w:pPr>
        <w:ind w:left="3600" w:hanging="360"/>
      </w:pPr>
    </w:lvl>
    <w:lvl w:ilvl="5" w:tplc="60829858" w:tentative="1">
      <w:start w:val="1"/>
      <w:numFmt w:val="lowerRoman"/>
      <w:lvlText w:val="%6."/>
      <w:lvlJc w:val="right"/>
      <w:pPr>
        <w:ind w:left="4320" w:hanging="180"/>
      </w:pPr>
    </w:lvl>
    <w:lvl w:ilvl="6" w:tplc="60829858" w:tentative="1">
      <w:start w:val="1"/>
      <w:numFmt w:val="decimal"/>
      <w:lvlText w:val="%7."/>
      <w:lvlJc w:val="left"/>
      <w:pPr>
        <w:ind w:left="5040" w:hanging="360"/>
      </w:pPr>
    </w:lvl>
    <w:lvl w:ilvl="7" w:tplc="60829858" w:tentative="1">
      <w:start w:val="1"/>
      <w:numFmt w:val="lowerLetter"/>
      <w:lvlText w:val="%8."/>
      <w:lvlJc w:val="left"/>
      <w:pPr>
        <w:ind w:left="5760" w:hanging="360"/>
      </w:pPr>
    </w:lvl>
    <w:lvl w:ilvl="8" w:tplc="60829858" w:tentative="1">
      <w:start w:val="1"/>
      <w:numFmt w:val="lowerRoman"/>
      <w:lvlText w:val="%9."/>
      <w:lvlJc w:val="right"/>
      <w:pPr>
        <w:ind w:left="6480" w:hanging="180"/>
      </w:pPr>
    </w:lvl>
  </w:abstractNum>
  <w:abstractNum w:abstractNumId="83839819">
    <w:multiLevelType w:val="hybridMultilevel"/>
    <w:lvl w:ilvl="0" w:tplc="540867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839819">
    <w:abstractNumId w:val="83839819"/>
  </w:num>
  <w:num w:numId="83839820">
    <w:abstractNumId w:val="838398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3868837" Type="http://schemas.microsoft.com/office/2011/relationships/commentsExtended" Target="commentsExtended.xml"/><Relationship Id="rId81656a3fbbf476bfb" Type="http://schemas.openxmlformats.org/officeDocument/2006/relationships/hyperlink" Target="https://www.cabidigitallibrary.org/doi/abs/10.1079/cabicompendium.45010" TargetMode="External"/><Relationship Id="rId43876a3fbbf47705d" Type="http://schemas.openxmlformats.org/officeDocument/2006/relationships/hyperlink" Target="https://www.cabidigitallibrary.org/doi/abs/10.1079/cabicompendium.45010" TargetMode="External"/><Relationship Id="rId96466a3fbbf4770c0" Type="http://schemas.openxmlformats.org/officeDocument/2006/relationships/hyperlink" Target="https://hortipendium.de/Pseudomonas_syringae_pv._syringa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