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syringae (PSDMSY)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was considered that listing at pathovar level was justified because of importance of host specialization within Pseudomonas syringae</w:t>
      </w:r>
      <w:r>
        <w:rPr>
          <w:color w:val="0200C9"/>
          <w:sz w:val="24"/>
          <w:szCs w:val="24"/>
        </w:rPr>
        <w:br/>
        <w:t xml:space="preserve">Pseudomonas syringae pv</w:t>
      </w:r>
      <w:r>
        <w:rPr>
          <w:color w:val="0200C9"/>
          <w:sz w:val="24"/>
          <w:szCs w:val="24"/>
        </w:rPr>
        <w:br/>
        <w:t xml:space="preserve">- actinidiae – infects kiwi (plant test)</w:t>
      </w:r>
      <w:r>
        <w:rPr>
          <w:color w:val="0200C9"/>
          <w:sz w:val="24"/>
          <w:szCs w:val="24"/>
        </w:rPr>
        <w:br/>
        <w:t xml:space="preserve">- lachrymans – infects Cucurbitaceae (seed test)</w:t>
      </w:r>
      <w:r>
        <w:rPr>
          <w:color w:val="0200C9"/>
          <w:sz w:val="24"/>
          <w:szCs w:val="24"/>
        </w:rPr>
        <w:br/>
        <w:t xml:space="preserve">- maculicola – infects radish and cabbage (seed test)</w:t>
      </w:r>
      <w:r>
        <w:rPr>
          <w:color w:val="0200C9"/>
          <w:sz w:val="24"/>
          <w:szCs w:val="24"/>
        </w:rPr>
        <w:br/>
        <w:t xml:space="preserve">- syringae – infects bean (seed test), diagnostics apple</w:t>
      </w:r>
      <w:r>
        <w:rPr>
          <w:color w:val="0200C9"/>
          <w:sz w:val="24"/>
          <w:szCs w:val="24"/>
        </w:rPr>
        <w:br/>
        <w:t xml:space="preserve">- pisi – infects peas (seed test)</w:t>
      </w:r>
      <w:r>
        <w:rPr>
          <w:color w:val="0200C9"/>
          <w:sz w:val="24"/>
          <w:szCs w:val="24"/>
        </w:rPr>
        <w:br/>
        <w:t xml:space="preserve">- porri – infects leek &amp; chives (Allium) (seed test)</w:t>
      </w:r>
      <w:r>
        <w:rPr>
          <w:color w:val="0200C9"/>
          <w:sz w:val="24"/>
          <w:szCs w:val="24"/>
        </w:rPr>
        <w:br/>
        <w:t xml:space="preserve">- tomato – infects tomato (seed test)</w:t>
      </w:r>
      <w:r>
        <w:rPr>
          <w:color w:val="0200C9"/>
          <w:sz w:val="24"/>
          <w:szCs w:val="24"/>
        </w:rPr>
        <w:br/>
        <w:t xml:space="preserve">- etc.</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 syringae pv. syringae is widespread from tropical areas to northern Europe and Canada, Australia and New Zealand. It has been reported in the EU in Austria (present - CABI/EPPO, 2012), Belgium (present – Bradbury, 1986), Bulgaria (present - CAB International, 1988), Cyprus (present - Bradbury, 1986), Denmark (present - Bradbury, 1986), France (present - Bradbury, 1986), Germany (present - Bradbury, 1986), Greece (present - Bradbury, 1986), Hungary (present - Bradbury, 1986), Ireland (present - CAB International, 1988), Italy (present - CABI/EPPO, 2012), Latvia (present - CABI/EPPO, 2012), Lithuania (present - CABI/EPPO, 2012), Netherlands (present - Bradbury, 1986), Poland (present – Bradbury, 1986), Portugal (present - Bradbury, 1986), Romania (present - Bradbury, 986), Slovenia (present - Dreo et al. , 2004), Spain (present - CABI/EPPO, 2012), Sweden (present - Bradbury, 1986). Cited from CABI crop protection compendium (</w:t>
      </w:r>
      <w:hyperlink r:id="rId96306ab689851fee8" w:history="1">
        <w:r>
          <w:rPr>
            <w:color w:val="0200C9"/>
            <w:sz w:val="24"/>
            <w:szCs w:val="24"/>
          </w:rPr>
          <w:t xml:space="preserve">https://www.cabidigitallibrary.org/doi/abs/10.1079/cabicompendium.45010</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spp.' recommended in EPPO Standard PM 4-27 Pathogen-tested material of Malus, Pyrus and Cydonia. In responses to the questionnaire, DE, FR and SI supported deregulation (or revise threshold for FR). DE highlighted the unclear taxonomy making laboratory analysis difficult and the widespread presence of the bacteria as an epiphyte on plants. Evaluation continues applying full methodology.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Cydonia is mentioned as host, but with no specific information on impact. Chiriac et al. (2014) indicated that the reaction on Cydonia sp. in invitro material was comparable to the reaction of pear. Quince is used as a rootstock for pear and might therefore be less important for a pathogen which enters via blossom and leaf buds. Quince is also commercially grown for fruits in certain areas, however the pathogenicity may be comparable with possible infections of E. amylovora on pear (Anonymous,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Wet weather, high relative humidity, and relatively cool (15-25°C) spring temperatures favors disease development (CABI, 2020). The economic impact is difficult to quantify because it depends on the intensity of the epidemic. There may be a transfer to another host in the vicinity (pears, apples etc.)</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Appropriate growing practices (e.g. fungicide treatment of plants for planting, agricultural practice, irrigation, no overfertilization), use of certified/controlled CAC material, inspections at appropriate vegetation stages etc.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 and lack of data on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Agrios GN (2005). Plant Pathology, 5th Edition. Elsevier Academic Press. 922 pp.</w:t>
      </w:r>
    </w:p>
    <w:p>
      <w:pPr>
        <w:numPr>
          <w:ilvl w:val="0"/>
          <w:numId w:val="1"/>
        </w:numPr>
        <w:spacing w:before="0" w:after="0" w:line="240" w:lineRule="auto"/>
        <w:jc w:val="left"/>
        <w:rPr>
          <w:color w:val="0200C9"/>
          <w:sz w:val="24"/>
          <w:szCs w:val="24"/>
        </w:rPr>
      </w:pPr>
      <w:r>
        <w:rPr>
          <w:color w:val="0200C9"/>
          <w:sz w:val="24"/>
          <w:szCs w:val="24"/>
        </w:rPr>
        <w:t xml:space="preserve">Bradbury JF, 1986. Guide to Plant Pathogenic Bacteria.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CABI/EPPO (2012). Pseudomonas syringae pv. syringae. [Distribution map]. Distribution Maps of Plant Diseases, No. October. Wallingford, UK: CABI, Map 336 (Edition 5).</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64206ab6898520470"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Chiriac IP, Lipşa FlD&amp; Ulea E (2014) Comparative study regarding in vitro infections with Erwinia amylovora and Pseudomonas syringae pv. syringae on pomaceae species. Cercetări Agronomice în Moldova XLVIII No. 1 (161) / 2015</w:t>
      </w:r>
    </w:p>
    <w:p>
      <w:pPr>
        <w:numPr>
          <w:ilvl w:val="0"/>
          <w:numId w:val="1"/>
        </w:numPr>
        <w:spacing w:before="0" w:after="0" w:line="240" w:lineRule="auto"/>
        <w:jc w:val="left"/>
        <w:rPr>
          <w:color w:val="0200C9"/>
          <w:sz w:val="24"/>
          <w:szCs w:val="24"/>
        </w:rPr>
      </w:pPr>
      <w:r>
        <w:rPr>
          <w:color w:val="0200C9"/>
          <w:sz w:val="24"/>
          <w:szCs w:val="24"/>
        </w:rPr>
        <w:t xml:space="preserve">Dreo T, Seljak G, Demšar T, Ravnikar M (2004). Bacterial spot of stone fruits in Slovenia. [Proceedings of the IOBC/WPRS Working Group 'Integrated plant protection in stone fruit', Opatjia, Croatia, 14-16 October 2002]. Bulletin OILB/SROP 27(5), 123-125.</w:t>
      </w:r>
    </w:p>
    <w:p>
      <w:pPr>
        <w:numPr>
          <w:ilvl w:val="0"/>
          <w:numId w:val="1"/>
        </w:numPr>
        <w:spacing w:before="0" w:after="0" w:line="240" w:lineRule="auto"/>
        <w:jc w:val="left"/>
        <w:rPr>
          <w:color w:val="0200C9"/>
          <w:sz w:val="24"/>
          <w:szCs w:val="24"/>
        </w:rPr>
      </w:pPr>
      <w:r>
        <w:rPr>
          <w:color w:val="0200C9"/>
          <w:sz w:val="24"/>
          <w:szCs w:val="24"/>
        </w:rPr>
        <w:t xml:space="preserve">CAB International, 1988. Pseudomonas syringae pv. syringae. [Distribution map]. Distribution Maps of Plant Diseases, April (Edition 4). Wallingford, UK: CAB International, Map 336.</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42366ab68985204e0"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Mansvelt EL &amp; Hattingh MJ (2014). Bacterial blossom blast. In: Compendium of Apple and Pear Diseases and Pests, Second Edition (Eds. Sutton TB, Aldwinckle HS, Agnello AM &amp; Walgenbach JF). American Phytopathological Society - page 92.</w:t>
      </w:r>
    </w:p>
    <w:p>
      <w:pPr>
        <w:numPr>
          <w:ilvl w:val="0"/>
          <w:numId w:val="1"/>
        </w:numPr>
        <w:spacing w:before="0" w:after="0" w:line="240" w:lineRule="auto"/>
        <w:jc w:val="left"/>
        <w:rPr>
          <w:color w:val="0200C9"/>
          <w:sz w:val="24"/>
          <w:szCs w:val="24"/>
        </w:rPr>
      </w:pPr>
      <w:r>
        <w:rPr>
          <w:color w:val="0200C9"/>
          <w:sz w:val="24"/>
          <w:szCs w:val="24"/>
        </w:rPr>
        <w:t xml:space="preserve">Mansvelt EL, Hattingh MJ &amp; Sundin GW (2014). Bacterial blister bark. In: Compendium of Apple and Pear Diseases and Pests, Second Edition (Eds. Sutton TB, Aldwinckle HS, Agnello AM &amp; Walgenbach JF). American Phytopathological Society - pp 92-93.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01952">
    <w:multiLevelType w:val="hybridMultilevel"/>
    <w:lvl w:ilvl="0" w:tplc="72742731">
      <w:start w:val="1"/>
      <w:numFmt w:val="decimal"/>
      <w:lvlText w:val="%1."/>
      <w:lvlJc w:val="left"/>
      <w:pPr>
        <w:ind w:left="720" w:hanging="360"/>
      </w:pPr>
    </w:lvl>
    <w:lvl w:ilvl="1" w:tplc="72742731" w:tentative="1">
      <w:start w:val="1"/>
      <w:numFmt w:val="lowerLetter"/>
      <w:lvlText w:val="%2."/>
      <w:lvlJc w:val="left"/>
      <w:pPr>
        <w:ind w:left="1440" w:hanging="360"/>
      </w:pPr>
    </w:lvl>
    <w:lvl w:ilvl="2" w:tplc="72742731" w:tentative="1">
      <w:start w:val="1"/>
      <w:numFmt w:val="lowerRoman"/>
      <w:lvlText w:val="%3."/>
      <w:lvlJc w:val="right"/>
      <w:pPr>
        <w:ind w:left="2160" w:hanging="180"/>
      </w:pPr>
    </w:lvl>
    <w:lvl w:ilvl="3" w:tplc="72742731" w:tentative="1">
      <w:start w:val="1"/>
      <w:numFmt w:val="decimal"/>
      <w:lvlText w:val="%4."/>
      <w:lvlJc w:val="left"/>
      <w:pPr>
        <w:ind w:left="2880" w:hanging="360"/>
      </w:pPr>
    </w:lvl>
    <w:lvl w:ilvl="4" w:tplc="72742731" w:tentative="1">
      <w:start w:val="1"/>
      <w:numFmt w:val="lowerLetter"/>
      <w:lvlText w:val="%5."/>
      <w:lvlJc w:val="left"/>
      <w:pPr>
        <w:ind w:left="3600" w:hanging="360"/>
      </w:pPr>
    </w:lvl>
    <w:lvl w:ilvl="5" w:tplc="72742731" w:tentative="1">
      <w:start w:val="1"/>
      <w:numFmt w:val="lowerRoman"/>
      <w:lvlText w:val="%6."/>
      <w:lvlJc w:val="right"/>
      <w:pPr>
        <w:ind w:left="4320" w:hanging="180"/>
      </w:pPr>
    </w:lvl>
    <w:lvl w:ilvl="6" w:tplc="72742731" w:tentative="1">
      <w:start w:val="1"/>
      <w:numFmt w:val="decimal"/>
      <w:lvlText w:val="%7."/>
      <w:lvlJc w:val="left"/>
      <w:pPr>
        <w:ind w:left="5040" w:hanging="360"/>
      </w:pPr>
    </w:lvl>
    <w:lvl w:ilvl="7" w:tplc="72742731" w:tentative="1">
      <w:start w:val="1"/>
      <w:numFmt w:val="lowerLetter"/>
      <w:lvlText w:val="%8."/>
      <w:lvlJc w:val="left"/>
      <w:pPr>
        <w:ind w:left="5760" w:hanging="360"/>
      </w:pPr>
    </w:lvl>
    <w:lvl w:ilvl="8" w:tplc="72742731" w:tentative="1">
      <w:start w:val="1"/>
      <w:numFmt w:val="lowerRoman"/>
      <w:lvlText w:val="%9."/>
      <w:lvlJc w:val="right"/>
      <w:pPr>
        <w:ind w:left="6480" w:hanging="180"/>
      </w:pPr>
    </w:lvl>
  </w:abstractNum>
  <w:abstractNum w:abstractNumId="47501951">
    <w:multiLevelType w:val="hybridMultilevel"/>
    <w:lvl w:ilvl="0" w:tplc="23436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01951">
    <w:abstractNumId w:val="47501951"/>
  </w:num>
  <w:num w:numId="47501952">
    <w:abstractNumId w:val="475019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8267141" Type="http://schemas.microsoft.com/office/2011/relationships/commentsExtended" Target="commentsExtended.xml"/><Relationship Id="rId96306ab689851fee8" Type="http://schemas.openxmlformats.org/officeDocument/2006/relationships/hyperlink" Target="https://www.cabidigitallibrary.org/doi/abs/10.1079/cabicompendium.45010" TargetMode="External"/><Relationship Id="rId64206ab6898520470" Type="http://schemas.openxmlformats.org/officeDocument/2006/relationships/hyperlink" Target="https://www.cabidigitallibrary.org/doi/abs/10.1079/cabicompendium.45010" TargetMode="External"/><Relationship Id="rId42366ab68985204e0" Type="http://schemas.openxmlformats.org/officeDocument/2006/relationships/hyperlink" Target="https://hortipendium.de/Pseudomonas_syringae_pv._syringa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