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amygdali pv. morsprunorum &amp; P. avellanae pv. morsprunorum {Pseudomonas syringae pv. morsprunorum} (PSDMAM for P. amygdali &amp; PSDMAL for P. avellanae)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Pseudomonas syringae pv. mors-prunorum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Various Pseudomonas spp. have been reported to be associated with bacterial canker disease (BCD) in Prunus spp. (for overview see Hulin et al., 2020; Table 1).</w:t>
      </w:r>
      <w:r>
        <w:rPr>
          <w:color w:val="0200C9"/>
          <w:sz w:val="24"/>
          <w:szCs w:val="24"/>
        </w:rPr>
        <w:br/>
        <w:t xml:space="preserve">Pseudomonas syringae pv. morsprunorum has been split in two groups and renamed (see Hulin et al., 2020):</w:t>
      </w:r>
      <w:r>
        <w:rPr>
          <w:color w:val="0200C9"/>
          <w:sz w:val="24"/>
          <w:szCs w:val="24"/>
        </w:rPr>
        <w:br/>
        <w:t xml:space="preserve">- P. amygdali pv. morsprunorum (PG03) (formerly P. syringae pv. morsprunorum Race 1, Psm1), and</w:t>
      </w:r>
      <w:r>
        <w:rPr>
          <w:color w:val="0200C9"/>
          <w:sz w:val="24"/>
          <w:szCs w:val="24"/>
        </w:rPr>
        <w:br/>
        <w:t xml:space="preserve">- P. avellanae pv. morsprunorum (PG01b) (formerly P. syringae pv. morsprunorum Race 2, Psm2).</w:t>
      </w:r>
      <w:r>
        <w:rPr>
          <w:color w:val="0200C9"/>
          <w:sz w:val="24"/>
          <w:szCs w:val="24"/>
        </w:rPr>
        <w:br/>
        <w:t xml:space="preserve">This RNQP summarysheet covers both taxa.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Czech Republic (1996); Denmark (1993); Finland (2011); France (1994); Germany (1993); Greece (1992); Ireland (1993); Italy (1992); Netherlands (1993); Poland (1992); Romania (1992); Sweden (1996)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95396a042525466c9"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syringae pv. morsprunorum' is recommended in EPPO Standard PM 4-29 Certification scheme for cherry. However, in the responses to the questionnaire, DE and FR supported deregulation; DE arguing that feasible and effective measures were not available. FR considered that, if not deregulated, thresholds should be adapted. Evaluation continues on the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Prunus spp. are considered to be significant hosts of Pseudomonas syringae pv. morsprunorum.</w:t>
      </w:r>
      <w:r>
        <w:rPr>
          <w:color w:val="F30000"/>
          <w:sz w:val="24"/>
          <w:szCs w:val="24"/>
        </w:rPr>
        <w:br/>
        <w:t xml:space="preserve">P. syringae pv. morsprunorum overwinters in cankers and other diseased tissues, in contaminated buds and occasionally in the tree's vascular system. In spring, bacteria associated with overwintering sites are disseminated by splashing rain on to blossoms, fruits and leaves. Bacteria in dormant buds colonize blossoms and leaves as they unfold. Epiphytic populations of P. syringae pv. morsprunorum develop on the surface of symptomless blossoms and leaves from bloom through to leaf fall in the autumn (Crosse, 1966; Hattingh et al., 1989; cited from CABI, 2021).</w:t>
      </w:r>
      <w:r>
        <w:rPr>
          <w:color w:val="F30000"/>
          <w:sz w:val="24"/>
          <w:szCs w:val="24"/>
        </w:rPr>
        <w:br/>
        <w:t xml:space="preserve">Outbreaks of bacterial canker are often associated with prolonged periods of cold, frosty, wet weather late in the spring or with severe storms that injure the emerging blossoms and leaves. Freezing can predispose blossoms and new leaves to infection; the infection is aided by wet weather during the thawing process. Young fruit are infected by bacteria spread in water from new infections and from foliage with epiphytic bacteria. Leaf infection can occur following violent storms with rain in late spring and early summer. Once pv. morsprunorum enters through stomata of the leaf, it can migrate to other regions of the leaf and tree in the vascular system (Roos &amp; Hattingh, 1987, cited from CABI, 2021). Symptoms appear about 5 days later at temperatures between 21 and 26°C (Sundin et al., 1988). After leaves abscise in autumn, the bacteria can enter and infect the tree through fresh leaf scars (Crosse, 1956, 1957; Hignett, 1974; Sundin et al., 1988; cited from CABI, 2021).</w:t>
      </w:r>
      <w:r>
        <w:rPr>
          <w:color w:val="F30000"/>
          <w:sz w:val="24"/>
          <w:szCs w:val="24"/>
        </w:rPr>
        <w:br/>
        <w:t xml:space="preserve">The disease is worse in low or sandy spots in the orchard. vigorous trees are less susceptible to bacterial canker, while young trees, 2 to 8 years old, are most affected. The disease rarely occurs in first year of planting, and is uncommon in nurseries (UC PMG, 2017).</w:t>
      </w:r>
      <w:r>
        <w:rPr>
          <w:color w:val="F30000"/>
          <w:sz w:val="24"/>
          <w:szCs w:val="24"/>
        </w:rPr>
        <w:br/>
        <w:br/>
        <w:t xml:space="preserve">Considering its very widespread distribution, the Fruit SEWG concluded that plants for planting was not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Losses from P. syringae pv. morsprunorum are less severe than those from P. syringae pv. syringae, in part because pv. morsprunorum has a more restrictive host range and geographic distribution than pathovar syringae. The killing of buds, fruiting spurs and branches, and infection of fruits reduces yields. The impact of sporadic disease outbreaks can last for several years due to the time required for infected trees to replace lost bearing surface. Infection of young trees may cause tree mortality or adversely affect tree form (CABI, 2021).</w:t>
      </w:r>
      <w:r>
        <w:rPr>
          <w:color w:val="606060"/>
          <w:sz w:val="24"/>
          <w:szCs w:val="24"/>
        </w:rPr>
        <w:br/>
        <w:t xml:space="preserve">Although P. syringae pv. morsprunorum is widely distributed, absence of the bacterium may be an important consideration for stone fruit-growing areas where the bacterium does not (yet) occur. The bacterium would not be expected to represent a serious risk for areas where bacterial canker, caused by P. syringae pv. syringae, already exists (CABI, 2021).</w:t>
      </w:r>
      <w:r>
        <w:rPr>
          <w:color w:val="606060"/>
          <w:sz w:val="24"/>
          <w:szCs w:val="24"/>
        </w:rPr>
        <w:br/>
        <w:t xml:space="preserve">The occurrence of bacterial canker is thought to be related to the amount of stress trees are subjected to, including poor nitrogen and/or microelement availability, high ring-nematode populations, previous drought stresses, hardpan, rootstocks that reduce tree vigour, spring freezes, and irrigation methods that wet the tree. Also important are rootstock selection, proper nitrogen fertilization, and the use of drip or microsprinkler irrigation, which may help with nutrient uptake (UC PMG, 2017).</w:t>
      </w:r>
      <w:r>
        <w:rPr>
          <w:color w:val="606060"/>
          <w:sz w:val="24"/>
          <w:szCs w:val="24"/>
        </w:rPr>
        <w:br/>
        <w:t xml:space="preserve">Both Pseudomonas amygdali pv. morsprunorum (Psm1) and P. avellanae pv. morsprunorum (Psm2) have</w:t>
      </w:r>
      <w:r>
        <w:rPr>
          <w:color w:val="606060"/>
          <w:sz w:val="24"/>
          <w:szCs w:val="24"/>
        </w:rPr>
        <w:br/>
        <w:t xml:space="preserve">been reported to induce canker, dieback, necrosis on leaves, fruit and blossom on Prunus cerasus, both confirmed by controlled pathogenicity tests. However, more species and pathovars within the Pseudomonas syringae species/pathovar complex (PSSC) are able to induce bacteria canker in cherry (see Table 1 Hulin et al. 2020).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Planting trees that are budded or grafted about 32 inches above the root crown can help suppress bacterial canker infections. Bacterial canker tends to mostly affect weak trees, so any management practice that improves tree vigour (e.g., lighter, more frequent irrigation, improved tree nutrition, nematode management, etc.) will help to reduce the incidence of this disease (UC PMG,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Pseudomonas syringae pv. morsprunorum (bacterial canker of stone fruits) (accessed 12/Aug/2024). CABI Compendium. </w:t>
      </w:r>
      <w:hyperlink r:id="rId30186a04252546b11" w:history="1">
        <w:r>
          <w:rPr>
            <w:color w:val="0200C9"/>
            <w:sz w:val="24"/>
            <w:szCs w:val="24"/>
          </w:rPr>
          <w:t xml:space="preserve">https://doi.org/10.1079/cabicompendium.44978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Crosse JE (1956). Bacterial canker of stone-fruits. II. Leaf scar infection of cherry. Journal of Horticultural Science 31, 212-224.</w:t>
      </w:r>
    </w:p>
    <w:p>
      <w:pPr>
        <w:numPr>
          <w:ilvl w:val="0"/>
          <w:numId w:val="1"/>
        </w:numPr>
        <w:spacing w:before="0" w:after="0" w:line="240" w:lineRule="auto"/>
        <w:jc w:val="left"/>
        <w:rPr>
          <w:color w:val="0200C9"/>
          <w:sz w:val="24"/>
          <w:szCs w:val="24"/>
        </w:rPr>
      </w:pPr>
      <w:r>
        <w:rPr>
          <w:color w:val="0200C9"/>
          <w:sz w:val="24"/>
          <w:szCs w:val="24"/>
        </w:rPr>
        <w:t xml:space="preserve">Crosse JE (1957) Bacterial canker of stone-fruits. III. Inoculum concentration and time of inoculations in relation to leaf-scar infection of cherry. Annuals of Applied Biology 45, 19-35.</w:t>
      </w:r>
    </w:p>
    <w:p>
      <w:pPr>
        <w:numPr>
          <w:ilvl w:val="0"/>
          <w:numId w:val="1"/>
        </w:numPr>
        <w:spacing w:before="0" w:after="0" w:line="240" w:lineRule="auto"/>
        <w:jc w:val="left"/>
        <w:rPr>
          <w:color w:val="0200C9"/>
          <w:sz w:val="24"/>
          <w:szCs w:val="24"/>
        </w:rPr>
      </w:pPr>
      <w:r>
        <w:rPr>
          <w:color w:val="0200C9"/>
          <w:sz w:val="24"/>
          <w:szCs w:val="24"/>
        </w:rPr>
        <w:t xml:space="preserve">Crosse JE (1966) Epidemiological relations of the Pseudomonad pathogens of deciduous fruit trees. Annual Review of Phytopathology 4, 291-310.</w:t>
      </w:r>
    </w:p>
    <w:p>
      <w:pPr>
        <w:numPr>
          <w:ilvl w:val="0"/>
          <w:numId w:val="1"/>
        </w:numPr>
        <w:spacing w:before="0" w:after="0" w:line="240" w:lineRule="auto"/>
        <w:jc w:val="left"/>
        <w:rPr>
          <w:color w:val="0200C9"/>
          <w:sz w:val="24"/>
          <w:szCs w:val="24"/>
        </w:rPr>
      </w:pPr>
      <w:r>
        <w:rPr>
          <w:color w:val="0200C9"/>
          <w:sz w:val="24"/>
          <w:szCs w:val="24"/>
        </w:rPr>
        <w:t xml:space="preserve">Hattingh MJ, Roos IMM &amp; Mansvelt EL (1989) Infection and systemic invasion of deciduous fruit trees by Pseudomonas syringae in South Africa. Plant Disease 73(10), 784-789.</w:t>
      </w:r>
    </w:p>
    <w:p>
      <w:pPr>
        <w:numPr>
          <w:ilvl w:val="0"/>
          <w:numId w:val="1"/>
        </w:numPr>
        <w:spacing w:before="0" w:after="0" w:line="240" w:lineRule="auto"/>
        <w:jc w:val="left"/>
        <w:rPr>
          <w:color w:val="0200C9"/>
          <w:sz w:val="24"/>
          <w:szCs w:val="24"/>
        </w:rPr>
      </w:pPr>
      <w:r>
        <w:rPr>
          <w:color w:val="0200C9"/>
          <w:sz w:val="24"/>
          <w:szCs w:val="24"/>
        </w:rPr>
        <w:t xml:space="preserve">Hignett RC (1974). Absorption of Pseudomonas morsprunorum through cherry leaf scars. Journal of General Microbiology 80(2), 501-506.</w:t>
      </w:r>
    </w:p>
    <w:p>
      <w:pPr>
        <w:numPr>
          <w:ilvl w:val="0"/>
          <w:numId w:val="1"/>
        </w:numPr>
        <w:spacing w:before="0" w:after="0" w:line="240" w:lineRule="auto"/>
        <w:jc w:val="left"/>
        <w:rPr>
          <w:color w:val="0200C9"/>
          <w:sz w:val="24"/>
          <w:szCs w:val="24"/>
        </w:rPr>
      </w:pPr>
      <w:r>
        <w:rPr>
          <w:color w:val="0200C9"/>
          <w:sz w:val="24"/>
          <w:szCs w:val="24"/>
        </w:rPr>
        <w:t xml:space="preserve">Hulin MT, Jackson RW, Harrison RJ &amp; Mansfield JW (2020). Cherry picking by pseudomonads: After a century of research on canker, genomics provides insights into the evolution of pathogenicity towards stone fruits. Plant Pathology 69(6), 962-978. doi: 10.1111/ppa.13189.</w:t>
      </w:r>
    </w:p>
    <w:p>
      <w:pPr>
        <w:numPr>
          <w:ilvl w:val="0"/>
          <w:numId w:val="1"/>
        </w:numPr>
        <w:spacing w:before="0" w:after="0" w:line="240" w:lineRule="auto"/>
        <w:jc w:val="left"/>
        <w:rPr>
          <w:color w:val="0200C9"/>
          <w:sz w:val="24"/>
          <w:szCs w:val="24"/>
        </w:rPr>
      </w:pPr>
      <w:r>
        <w:rPr>
          <w:color w:val="0200C9"/>
          <w:sz w:val="24"/>
          <w:szCs w:val="24"/>
        </w:rPr>
        <w:t xml:space="preserve">Latorre BA, Jones AL, 1979. Evaluation of weeds and plant refuse as potential sources of inoculum of Pseudomonas syringae in bacterial canker of cherry. Phytopathology, 69(10):1122-1125.</w:t>
      </w:r>
    </w:p>
    <w:p>
      <w:pPr>
        <w:numPr>
          <w:ilvl w:val="0"/>
          <w:numId w:val="1"/>
        </w:numPr>
        <w:spacing w:before="0" w:after="0" w:line="240" w:lineRule="auto"/>
        <w:jc w:val="left"/>
        <w:rPr>
          <w:color w:val="0200C9"/>
          <w:sz w:val="24"/>
          <w:szCs w:val="24"/>
        </w:rPr>
      </w:pPr>
      <w:r>
        <w:rPr>
          <w:color w:val="0200C9"/>
          <w:sz w:val="24"/>
          <w:szCs w:val="24"/>
        </w:rPr>
        <w:t xml:space="preserve">Parisi L, Morgaint B, Blanco‐Garcia J, Guilbaud C, Chandeysson C, Bourgeay JF, Moronvalle A, Brun L, Brachet ML &amp; Morris, C. E. (2019). Bacteria from four phylogroups of the Pseudomonas syringae complex can cause bacterial canker of apricot. Plant Pathology 68(7), 1249-1258. </w:t>
      </w:r>
      <w:hyperlink r:id="rId68786a04252546bcf" w:history="1">
        <w:r>
          <w:rPr>
            <w:color w:val="0200C9"/>
            <w:sz w:val="24"/>
            <w:szCs w:val="24"/>
          </w:rPr>
          <w:t xml:space="preserve">https://bsppjournals.onlinelibrary.wiley.com/doi/pdfdirect/10.1111/ppa.13051</w:t>
        </w:r>
      </w:hyperlink>
    </w:p>
    <w:p>
      <w:pPr>
        <w:numPr>
          <w:ilvl w:val="0"/>
          <w:numId w:val="1"/>
        </w:numPr>
        <w:spacing w:before="0" w:after="0" w:line="240" w:lineRule="auto"/>
        <w:jc w:val="left"/>
        <w:rPr>
          <w:color w:val="0200C9"/>
          <w:sz w:val="24"/>
          <w:szCs w:val="24"/>
        </w:rPr>
      </w:pPr>
      <w:r>
        <w:rPr>
          <w:color w:val="0200C9"/>
          <w:sz w:val="24"/>
          <w:szCs w:val="24"/>
        </w:rPr>
        <w:t xml:space="preserve">Roos IMM &amp; Hattingh MJ (1987b). Systemic invasion of cherry leaves and petioles by Pseudomonas syringae pv. morsprunorum. Phytopathology 77(9), 1246-1252.</w:t>
      </w:r>
    </w:p>
    <w:p>
      <w:pPr>
        <w:numPr>
          <w:ilvl w:val="0"/>
          <w:numId w:val="1"/>
        </w:numPr>
        <w:spacing w:before="0" w:after="0" w:line="240" w:lineRule="auto"/>
        <w:jc w:val="left"/>
        <w:rPr>
          <w:color w:val="0200C9"/>
          <w:sz w:val="24"/>
          <w:szCs w:val="24"/>
        </w:rPr>
      </w:pPr>
      <w:r>
        <w:rPr>
          <w:color w:val="0200C9"/>
          <w:sz w:val="24"/>
          <w:szCs w:val="24"/>
        </w:rPr>
        <w:t xml:space="preserve">Sundin GW, Jones AL &amp; Olson BD (1988). Overwintering and population dynamics of Pseudomonas syringae pv. syringae and P.s. pv. morsprunorum on sweet and sour cherry trees. Canadian Journal of Plant Pathology 10(4), 281-288.</w:t>
      </w:r>
    </w:p>
    <w:p>
      <w:pPr>
        <w:numPr>
          <w:ilvl w:val="0"/>
          <w:numId w:val="1"/>
        </w:numPr>
        <w:spacing w:before="0" w:after="0" w:line="240" w:lineRule="auto"/>
        <w:jc w:val="left"/>
        <w:rPr>
          <w:color w:val="0200C9"/>
          <w:sz w:val="24"/>
          <w:szCs w:val="24"/>
        </w:rPr>
      </w:pPr>
      <w:r>
        <w:rPr>
          <w:color w:val="0200C9"/>
          <w:sz w:val="24"/>
          <w:szCs w:val="24"/>
        </w:rPr>
        <w:t xml:space="preserve">UC PMG (2017) Bacterial canker. In Pest management guidelines – Cherry. Publication 3440. University of California Agriculture and Natural Resources, pages 58-59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261861">
    <w:multiLevelType w:val="hybridMultilevel"/>
    <w:lvl w:ilvl="0" w:tplc="94877889">
      <w:start w:val="1"/>
      <w:numFmt w:val="decimal"/>
      <w:lvlText w:val="%1."/>
      <w:lvlJc w:val="left"/>
      <w:pPr>
        <w:ind w:left="720" w:hanging="360"/>
      </w:pPr>
    </w:lvl>
    <w:lvl w:ilvl="1" w:tplc="94877889" w:tentative="1">
      <w:start w:val="1"/>
      <w:numFmt w:val="lowerLetter"/>
      <w:lvlText w:val="%2."/>
      <w:lvlJc w:val="left"/>
      <w:pPr>
        <w:ind w:left="1440" w:hanging="360"/>
      </w:pPr>
    </w:lvl>
    <w:lvl w:ilvl="2" w:tplc="94877889" w:tentative="1">
      <w:start w:val="1"/>
      <w:numFmt w:val="lowerRoman"/>
      <w:lvlText w:val="%3."/>
      <w:lvlJc w:val="right"/>
      <w:pPr>
        <w:ind w:left="2160" w:hanging="180"/>
      </w:pPr>
    </w:lvl>
    <w:lvl w:ilvl="3" w:tplc="94877889" w:tentative="1">
      <w:start w:val="1"/>
      <w:numFmt w:val="decimal"/>
      <w:lvlText w:val="%4."/>
      <w:lvlJc w:val="left"/>
      <w:pPr>
        <w:ind w:left="2880" w:hanging="360"/>
      </w:pPr>
    </w:lvl>
    <w:lvl w:ilvl="4" w:tplc="94877889" w:tentative="1">
      <w:start w:val="1"/>
      <w:numFmt w:val="lowerLetter"/>
      <w:lvlText w:val="%5."/>
      <w:lvlJc w:val="left"/>
      <w:pPr>
        <w:ind w:left="3600" w:hanging="360"/>
      </w:pPr>
    </w:lvl>
    <w:lvl w:ilvl="5" w:tplc="94877889" w:tentative="1">
      <w:start w:val="1"/>
      <w:numFmt w:val="lowerRoman"/>
      <w:lvlText w:val="%6."/>
      <w:lvlJc w:val="right"/>
      <w:pPr>
        <w:ind w:left="4320" w:hanging="180"/>
      </w:pPr>
    </w:lvl>
    <w:lvl w:ilvl="6" w:tplc="94877889" w:tentative="1">
      <w:start w:val="1"/>
      <w:numFmt w:val="decimal"/>
      <w:lvlText w:val="%7."/>
      <w:lvlJc w:val="left"/>
      <w:pPr>
        <w:ind w:left="5040" w:hanging="360"/>
      </w:pPr>
    </w:lvl>
    <w:lvl w:ilvl="7" w:tplc="94877889" w:tentative="1">
      <w:start w:val="1"/>
      <w:numFmt w:val="lowerLetter"/>
      <w:lvlText w:val="%8."/>
      <w:lvlJc w:val="left"/>
      <w:pPr>
        <w:ind w:left="5760" w:hanging="360"/>
      </w:pPr>
    </w:lvl>
    <w:lvl w:ilvl="8" w:tplc="94877889" w:tentative="1">
      <w:start w:val="1"/>
      <w:numFmt w:val="lowerRoman"/>
      <w:lvlText w:val="%9."/>
      <w:lvlJc w:val="right"/>
      <w:pPr>
        <w:ind w:left="6480" w:hanging="180"/>
      </w:pPr>
    </w:lvl>
  </w:abstractNum>
  <w:abstractNum w:abstractNumId="91261860">
    <w:multiLevelType w:val="hybridMultilevel"/>
    <w:lvl w:ilvl="0" w:tplc="971660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261860">
    <w:abstractNumId w:val="91261860"/>
  </w:num>
  <w:num w:numId="91261861">
    <w:abstractNumId w:val="912618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6467108" Type="http://schemas.microsoft.com/office/2011/relationships/commentsExtended" Target="commentsExtended.xml"/><Relationship Id="rId95396a042525466c9" Type="http://schemas.openxmlformats.org/officeDocument/2006/relationships/hyperlink" Target="https://gd.eppo.int/" TargetMode="External"/><Relationship Id="rId30186a04252546b11" Type="http://schemas.openxmlformats.org/officeDocument/2006/relationships/hyperlink" Target="https://doi.org/10.1079/cabicompendium.44978" TargetMode="External"/><Relationship Id="rId68786a04252546bcf" Type="http://schemas.openxmlformats.org/officeDocument/2006/relationships/hyperlink" Target="https://bsppjournals.onlinelibrary.wiley.com/doi/pdfdirect/10.1111/ppa.1305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