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6246a0425440005b"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4-29 Certification scheme for cherry.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The disease is worse in low or sandy spots in the orchard. vigorous trees are less susceptible to bacterial canker, while young trees, 2 to 8 years old, are most affected. The disease rarely occurs in first year of planting, and is uncommon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Bacterial canker is an annual problem for the global cherry fruit industry and is particularly devastating in young orchards, where it has been reported to cause up to 75% loss of trees (Spotts et al., 2010).</w:t>
      </w:r>
      <w:r>
        <w:rPr>
          <w:color w:val="606060"/>
          <w:sz w:val="24"/>
          <w:szCs w:val="24"/>
        </w:rPr>
        <w:b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The cankers and dieback caused by P. syringae pv. morsprunorum on sweet cherry clones grown in forest plantations can reduce the quality of the timber production (Scortichini et al., 1995;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The occurrence of bacterial canker is thought to be related to the amount of stress trees are subjected to, including poor nitrogen and/or microelement availability, high ring-nematode populations, previous drought stresses, hardpan, rootstocks that reduce tree vigour, spring freezes, and irrigation methods that wet the tree. Also important are rootstock selection, proper nitrogen fertilization, and the use of drip or microsprinkler irrigation, which may help with nutrient uptake (UC PMG, 2017).</w:t>
      </w:r>
      <w:r>
        <w:rPr>
          <w:color w:val="606060"/>
          <w:sz w:val="24"/>
          <w:szCs w:val="24"/>
        </w:rPr>
        <w:br/>
        <w:t xml:space="preserve">Both Pseudomonas amygdali pv. morsprunorum (Psm1) and P. avellanae pv. morsprunorum (Psm2) have been reported to induce canker, dieback, necrosis on leaves, fruit and blossom on Prunus avium, both confirmed by controlled pathogenicity tests. However, more species and pathovars within the Pseudomonas syringae species/pathovar complex are able to induce bacteria canker in cherry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79876a042544005be"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37626a04254400685"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Scortichini M, Biocca M &amp; Rossi MP (1995) Pseudomonas syringae. pv.morsprunorum on wild cherry for timber production: outbreak and field susceptibility. European Journal of Forest Pathology 25(6-70), 343-350. </w:t>
      </w:r>
      <w:hyperlink r:id="rId91286a042544006be" w:history="1">
        <w:r>
          <w:rPr>
            <w:color w:val="0200C9"/>
            <w:sz w:val="24"/>
            <w:szCs w:val="24"/>
          </w:rPr>
          <w:t xml:space="preserve">https://doi.org/10.1111/j.1439-0329.1995.tb01349.xCitations</w:t>
        </w:r>
      </w:hyperlink>
      <w:r>
        <w:rPr>
          <w:color w:val="0200C9"/>
          <w:sz w:val="24"/>
          <w:szCs w:val="24"/>
        </w:rPr>
        <w:t xml:space="preserve">: 7</w:t>
      </w:r>
    </w:p>
    <w:p>
      <w:pPr>
        <w:numPr>
          <w:ilvl w:val="0"/>
          <w:numId w:val="1"/>
        </w:numPr>
        <w:spacing w:before="0" w:after="0" w:line="240" w:lineRule="auto"/>
        <w:jc w:val="left"/>
        <w:rPr>
          <w:color w:val="0200C9"/>
          <w:sz w:val="24"/>
          <w:szCs w:val="24"/>
        </w:rPr>
      </w:pPr>
      <w:r>
        <w:rPr>
          <w:color w:val="0200C9"/>
          <w:sz w:val="24"/>
          <w:szCs w:val="24"/>
        </w:rPr>
        <w:t xml:space="preserve">Spotts RA, Wallis KM, Serdani M &amp; Azarenko AN (2010). Bacterial canker of sweet cherry in Oregon-Infection of horticultural and natural wounds, and resistance of cultivar and rootstock combinations. Plant Disease 94(3), 345-350. doi: 10.1094/PDIS-94-3-0345.</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Cherry. Publication 3440. University of California Agriculture and Natural Resources, pages 58-59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61009">
    <w:multiLevelType w:val="hybridMultilevel"/>
    <w:lvl w:ilvl="0" w:tplc="59590827">
      <w:start w:val="1"/>
      <w:numFmt w:val="decimal"/>
      <w:lvlText w:val="%1."/>
      <w:lvlJc w:val="left"/>
      <w:pPr>
        <w:ind w:left="720" w:hanging="360"/>
      </w:pPr>
    </w:lvl>
    <w:lvl w:ilvl="1" w:tplc="59590827" w:tentative="1">
      <w:start w:val="1"/>
      <w:numFmt w:val="lowerLetter"/>
      <w:lvlText w:val="%2."/>
      <w:lvlJc w:val="left"/>
      <w:pPr>
        <w:ind w:left="1440" w:hanging="360"/>
      </w:pPr>
    </w:lvl>
    <w:lvl w:ilvl="2" w:tplc="59590827" w:tentative="1">
      <w:start w:val="1"/>
      <w:numFmt w:val="lowerRoman"/>
      <w:lvlText w:val="%3."/>
      <w:lvlJc w:val="right"/>
      <w:pPr>
        <w:ind w:left="2160" w:hanging="180"/>
      </w:pPr>
    </w:lvl>
    <w:lvl w:ilvl="3" w:tplc="59590827" w:tentative="1">
      <w:start w:val="1"/>
      <w:numFmt w:val="decimal"/>
      <w:lvlText w:val="%4."/>
      <w:lvlJc w:val="left"/>
      <w:pPr>
        <w:ind w:left="2880" w:hanging="360"/>
      </w:pPr>
    </w:lvl>
    <w:lvl w:ilvl="4" w:tplc="59590827" w:tentative="1">
      <w:start w:val="1"/>
      <w:numFmt w:val="lowerLetter"/>
      <w:lvlText w:val="%5."/>
      <w:lvlJc w:val="left"/>
      <w:pPr>
        <w:ind w:left="3600" w:hanging="360"/>
      </w:pPr>
    </w:lvl>
    <w:lvl w:ilvl="5" w:tplc="59590827" w:tentative="1">
      <w:start w:val="1"/>
      <w:numFmt w:val="lowerRoman"/>
      <w:lvlText w:val="%6."/>
      <w:lvlJc w:val="right"/>
      <w:pPr>
        <w:ind w:left="4320" w:hanging="180"/>
      </w:pPr>
    </w:lvl>
    <w:lvl w:ilvl="6" w:tplc="59590827" w:tentative="1">
      <w:start w:val="1"/>
      <w:numFmt w:val="decimal"/>
      <w:lvlText w:val="%7."/>
      <w:lvlJc w:val="left"/>
      <w:pPr>
        <w:ind w:left="5040" w:hanging="360"/>
      </w:pPr>
    </w:lvl>
    <w:lvl w:ilvl="7" w:tplc="59590827" w:tentative="1">
      <w:start w:val="1"/>
      <w:numFmt w:val="lowerLetter"/>
      <w:lvlText w:val="%8."/>
      <w:lvlJc w:val="left"/>
      <w:pPr>
        <w:ind w:left="5760" w:hanging="360"/>
      </w:pPr>
    </w:lvl>
    <w:lvl w:ilvl="8" w:tplc="59590827" w:tentative="1">
      <w:start w:val="1"/>
      <w:numFmt w:val="lowerRoman"/>
      <w:lvlText w:val="%9."/>
      <w:lvlJc w:val="right"/>
      <w:pPr>
        <w:ind w:left="6480" w:hanging="180"/>
      </w:pPr>
    </w:lvl>
  </w:abstractNum>
  <w:abstractNum w:abstractNumId="51461008">
    <w:multiLevelType w:val="hybridMultilevel"/>
    <w:lvl w:ilvl="0" w:tplc="55226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61008">
    <w:abstractNumId w:val="51461008"/>
  </w:num>
  <w:num w:numId="51461009">
    <w:abstractNumId w:val="514610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724398" Type="http://schemas.microsoft.com/office/2011/relationships/commentsExtended" Target="commentsExtended.xml"/><Relationship Id="rId26246a0425440005b" Type="http://schemas.openxmlformats.org/officeDocument/2006/relationships/hyperlink" Target="https://gd.eppo.int/" TargetMode="External"/><Relationship Id="rId79876a042544005be" Type="http://schemas.openxmlformats.org/officeDocument/2006/relationships/hyperlink" Target="https://doi.org/10.1079/cabicompendium.44978" TargetMode="External"/><Relationship Id="rId37626a04254400685" Type="http://schemas.openxmlformats.org/officeDocument/2006/relationships/hyperlink" Target="https://bsppjournals.onlinelibrary.wiley.com/doi/pdfdirect/10.1111/ppa.13051" TargetMode="External"/><Relationship Id="rId91286a042544006be" Type="http://schemas.openxmlformats.org/officeDocument/2006/relationships/hyperlink" Target="https://doi.org/10.1111/j.1439-0329.1995.tb01349.xCitation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