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Pseudomonas amygdali pv. morsprunorum &amp; P. avellanae pv. morsprunorum {Pseudomonas syringae pv. morsprunorum} (PSDMAM for P. amygdali &amp; PSDMAL for P. avellanae)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Pseudomonas syringae pv. mors-prunorum</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Various Pseudomonas spp. have been reported to be associated with bacterial canker disease (BCD) in Prunus spp. (for overview see Hulin et al., 2020; Table 1).</w:t>
      </w:r>
      <w:r>
        <w:rPr>
          <w:color w:val="0200C9"/>
          <w:sz w:val="24"/>
          <w:szCs w:val="24"/>
        </w:rPr>
        <w:br/>
        <w:t xml:space="preserve">Pseudomonas syringae pv. morsprunorum has been split in two groups and renamed (see Hulin et al., 2020):</w:t>
      </w:r>
      <w:r>
        <w:rPr>
          <w:color w:val="0200C9"/>
          <w:sz w:val="24"/>
          <w:szCs w:val="24"/>
        </w:rPr>
        <w:br/>
        <w:t xml:space="preserve">- P. amygdali pv. morsprunorum (PG03) (formerly P. syringae pv. morsprunorum Race 1, Psm1), and</w:t>
      </w:r>
      <w:r>
        <w:rPr>
          <w:color w:val="0200C9"/>
          <w:sz w:val="24"/>
          <w:szCs w:val="24"/>
        </w:rPr>
        <w:br/>
        <w:t xml:space="preserve">- P. avellanae pv. morsprunorum (PG01b) (formerly P. syringae pv. morsprunorum Race 2, Psm2).</w:t>
      </w:r>
      <w:r>
        <w:rPr>
          <w:color w:val="0200C9"/>
          <w:sz w:val="24"/>
          <w:szCs w:val="24"/>
        </w:rPr>
        <w:br/>
        <w:t xml:space="preserve">This RNQP summarysheet covers both taxa.</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606060"/>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Czech Republic (1996); Denmark (1993); Finland (2011); France (1994); Germany (1993); Greece (1992); Ireland (1993); Italy (1992); Netherlands (1993); Poland (1992); Romania (1992); Sweden (1996)</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606060"/>
          <w:sz w:val="24"/>
          <w:szCs w:val="24"/>
        </w:rPr>
        <w:t xml:space="preserve">Data of the presence of this pest on the EU territory are available in EPPO Global Database (</w:t>
      </w:r>
      <w:hyperlink r:id="rId66406a0425563fc24" w:history="1">
        <w:r>
          <w:rPr>
            <w:color w:val="606060"/>
            <w:sz w:val="24"/>
            <w:szCs w:val="24"/>
          </w:rPr>
          <w:t xml:space="preserve">https://gd.eppo.int/</w:t>
        </w:r>
      </w:hyperlink>
      <w:r>
        <w:rPr>
          <w:color w:val="606060"/>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salicina (PRNSC)</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'Pseudomonas syringae pv. morsprunorum' is recommended in EPPO Standard PM 4-30 Certification scheme for almond, apricot, peach and plum. However, in the responses to the questionnaire, DE and FR supported deregulation; DE arguing that feasible and effective measures were not available. FR considered that, if not deregulated, thresholds should be adapted. Evaluation continues on the measures.</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Only Prunus spp. are considered to be significant hosts of Pseudomonas syringae pv. morsprunorum and is reported on Prunus salicina (CABI, 2021), although not mentioned by Hulin et al. (2020).</w:t>
      </w:r>
      <w:r>
        <w:rPr>
          <w:color w:val="F30000"/>
          <w:sz w:val="24"/>
          <w:szCs w:val="24"/>
        </w:rPr>
        <w:br/>
        <w:t xml:space="preserve">P. syringae pv. morsprunorum overwinters in cankers and other diseased tissues, in contaminated buds and occasionally in the tree's vascular system. In spring, bacteria associated with overwintering sites are disseminated by splashing rain on to blossoms, fruits and leaves. Bacteria in dormant buds colonize blossoms and leaves as they unfold. Epiphytic populations of P. syringae pv. morsprunorum develop on the surface of symptomless blossoms and leaves from bloom through to leaf fall in the autumn (Crosse, 1966; Hattingh et al., 1989; cited from CABI, 2021).</w:t>
      </w:r>
      <w:r>
        <w:rPr>
          <w:color w:val="F30000"/>
          <w:sz w:val="24"/>
          <w:szCs w:val="24"/>
        </w:rPr>
        <w:br/>
        <w:t xml:space="preserve">Outbreaks of bacterial canker are often associated with prolonged periods of cold, frosty, wet weather late in the spring or with severe storms that injure the emerging blossoms and leaves. Freezing can predispose blossoms and new leaves to infection; the infection is aided by wet weather during the thawing process. Young fruit are infected by bacteria spread in water from new infections and from foliage with epiphytic bacteria. Leaf infection can occur following violent storms with rain in late spring and early summer. Once pv. morsprunorum enters through stomata of the leaf, it can migrate to other regions of the leaf and tree in the vascular system (Roos &amp; Hattingh, 1987, cited from CABI, 2021). Symptoms appear about 5 days later at temperatures between 21 and 26°C (Sundin et al., 1988). After leaves abscise in autumn, the bacteria can enter and infect the tree through fresh leaf scars (Crosse, 1956, 1957; Hignett, 1974; Sundin et al., 1988; cited from CABI, 2021).</w:t>
      </w:r>
      <w:r>
        <w:rPr>
          <w:color w:val="F30000"/>
          <w:sz w:val="24"/>
          <w:szCs w:val="24"/>
        </w:rPr>
        <w:br/>
        <w:br/>
        <w:t xml:space="preserve">Considering its very widespread distribution, the Fruit SEWG concluded that plants for planting was not a significant pathway compared to natural spread.</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Planting trees that are budded or grafted about 32 inches above the root crown can help suppress bacterial canker infections. Bacterial canker tends to mostly affect weak trees, so any management practice that improves tree vigour (e.g., lighter, more frequent irrigation, improved tree nutrition, nematode management, etc.) will help to reduce the incidence of this disease (UC PMG, 2017).</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to be a significant pathway compared to natural spread.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(2021) Pseudomonas syringae pv. morsprunorum (bacterial canker of stone fruits) (accessed 12/Aug/2024). CABI Compendium. </w:t>
      </w:r>
      <w:hyperlink r:id="rId70086a04255641698" w:history="1">
        <w:r>
          <w:rPr>
            <w:color w:val="0200C9"/>
            <w:sz w:val="24"/>
            <w:szCs w:val="24"/>
          </w:rPr>
          <w:t xml:space="preserve">https://doi.org/10.1079/cabicompendium.44978</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Hulin MT, Jackson RW, Harrison RJ &amp; Mansfield JW (2020). Cherry picking by pseudomonads: After a century of research on canker, genomics provides insights into the evolution of pathogenicity towards stone fruits. Plant Pathology 69(6), 962-978. doi: 10.1111/ppa.13189.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2693212">
    <w:multiLevelType w:val="hybridMultilevel"/>
    <w:lvl w:ilvl="0" w:tplc="65559973">
      <w:start w:val="1"/>
      <w:numFmt w:val="decimal"/>
      <w:lvlText w:val="%1."/>
      <w:lvlJc w:val="left"/>
      <w:pPr>
        <w:ind w:left="720" w:hanging="360"/>
      </w:pPr>
    </w:lvl>
    <w:lvl w:ilvl="1" w:tplc="65559973" w:tentative="1">
      <w:start w:val="1"/>
      <w:numFmt w:val="lowerLetter"/>
      <w:lvlText w:val="%2."/>
      <w:lvlJc w:val="left"/>
      <w:pPr>
        <w:ind w:left="1440" w:hanging="360"/>
      </w:pPr>
    </w:lvl>
    <w:lvl w:ilvl="2" w:tplc="65559973" w:tentative="1">
      <w:start w:val="1"/>
      <w:numFmt w:val="lowerRoman"/>
      <w:lvlText w:val="%3."/>
      <w:lvlJc w:val="right"/>
      <w:pPr>
        <w:ind w:left="2160" w:hanging="180"/>
      </w:pPr>
    </w:lvl>
    <w:lvl w:ilvl="3" w:tplc="65559973" w:tentative="1">
      <w:start w:val="1"/>
      <w:numFmt w:val="decimal"/>
      <w:lvlText w:val="%4."/>
      <w:lvlJc w:val="left"/>
      <w:pPr>
        <w:ind w:left="2880" w:hanging="360"/>
      </w:pPr>
    </w:lvl>
    <w:lvl w:ilvl="4" w:tplc="65559973" w:tentative="1">
      <w:start w:val="1"/>
      <w:numFmt w:val="lowerLetter"/>
      <w:lvlText w:val="%5."/>
      <w:lvlJc w:val="left"/>
      <w:pPr>
        <w:ind w:left="3600" w:hanging="360"/>
      </w:pPr>
    </w:lvl>
    <w:lvl w:ilvl="5" w:tplc="65559973" w:tentative="1">
      <w:start w:val="1"/>
      <w:numFmt w:val="lowerRoman"/>
      <w:lvlText w:val="%6."/>
      <w:lvlJc w:val="right"/>
      <w:pPr>
        <w:ind w:left="4320" w:hanging="180"/>
      </w:pPr>
    </w:lvl>
    <w:lvl w:ilvl="6" w:tplc="65559973" w:tentative="1">
      <w:start w:val="1"/>
      <w:numFmt w:val="decimal"/>
      <w:lvlText w:val="%7."/>
      <w:lvlJc w:val="left"/>
      <w:pPr>
        <w:ind w:left="5040" w:hanging="360"/>
      </w:pPr>
    </w:lvl>
    <w:lvl w:ilvl="7" w:tplc="65559973" w:tentative="1">
      <w:start w:val="1"/>
      <w:numFmt w:val="lowerLetter"/>
      <w:lvlText w:val="%8."/>
      <w:lvlJc w:val="left"/>
      <w:pPr>
        <w:ind w:left="5760" w:hanging="360"/>
      </w:pPr>
    </w:lvl>
    <w:lvl w:ilvl="8" w:tplc="65559973" w:tentative="1">
      <w:start w:val="1"/>
      <w:numFmt w:val="lowerRoman"/>
      <w:lvlText w:val="%9."/>
      <w:lvlJc w:val="right"/>
      <w:pPr>
        <w:ind w:left="6480" w:hanging="180"/>
      </w:pPr>
    </w:lvl>
  </w:abstractNum>
  <w:abstractNum w:abstractNumId="42693211">
    <w:multiLevelType w:val="hybridMultilevel"/>
    <w:lvl w:ilvl="0" w:tplc="6637460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2693211">
    <w:abstractNumId w:val="42693211"/>
  </w:num>
  <w:num w:numId="42693212">
    <w:abstractNumId w:val="426932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41880131" Type="http://schemas.microsoft.com/office/2011/relationships/commentsExtended" Target="commentsExtended.xml"/><Relationship Id="rId66406a0425563fc24" Type="http://schemas.openxmlformats.org/officeDocument/2006/relationships/hyperlink" Target="https://gd.eppo.int/" TargetMode="External"/><Relationship Id="rId70086a04255641698" Type="http://schemas.openxmlformats.org/officeDocument/2006/relationships/hyperlink" Target="https://doi.org/10.1079/cabicompendium.44978"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