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amygdali pv. morsprunorum &amp; P. avellanae pv. morsprunorum {Pseudomonas syringae pv. morsprunorum} (PSDMAM for P. amygdali &amp; PSDMAL for P. avellanae)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Pseudomonas syringae pv. mors-prunorum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Various Pseudomonas spp. have been reported to be associated with bacterial canker disease (BCD) in Prunus spp. (for overview see Hulin et al., 2020; Table 1).</w:t>
      </w:r>
      <w:r>
        <w:rPr>
          <w:color w:val="0200C9"/>
          <w:sz w:val="24"/>
          <w:szCs w:val="24"/>
        </w:rPr>
        <w:br/>
        <w:t xml:space="preserve">Pseudomonas syringae pv. morsprunorum has been split in two groups and renamed (see Hulin et al., 2020):</w:t>
      </w:r>
      <w:r>
        <w:rPr>
          <w:color w:val="0200C9"/>
          <w:sz w:val="24"/>
          <w:szCs w:val="24"/>
        </w:rPr>
        <w:br/>
        <w:t xml:space="preserve">- P. amygdali pv. morsprunorum (PG03) (formerly P. syringae pv. morsprunorum Race 1, Psm1), and</w:t>
      </w:r>
      <w:r>
        <w:rPr>
          <w:color w:val="0200C9"/>
          <w:sz w:val="24"/>
          <w:szCs w:val="24"/>
        </w:rPr>
        <w:br/>
        <w:t xml:space="preserve">- P. avellanae pv. morsprunorum (PG01b) (formerly P. syringae pv. morsprunorum Race 2, Psm2).</w:t>
      </w:r>
      <w:r>
        <w:rPr>
          <w:color w:val="0200C9"/>
          <w:sz w:val="24"/>
          <w:szCs w:val="24"/>
        </w:rPr>
        <w:br/>
        <w:t xml:space="preserve">This RNQP summarysheet covers both taxa.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Czech Republic (1996); Denmark (1993); Finland (2011); France (1994); Germany (1993); Greece (1992); Ireland (1993); Italy (1992); Netherlands (1993); Poland (1992); Romania (1992); Sweden (1996)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32356a7b26df33e9e"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syringae pv. morsprunorum' is recommended in EPPO Standard PM 4-30 Certification scheme for almond, apricot, peach and plum. However, in the responses to the questionnaire, DE and FR supported deregulation; DE arguing that feasible and effective measures were not available. FR considered that, if not deregulated, thresholds should be adapted. Evaluation continues on the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Only Prunus spp. are considered to be significant hosts of Pseudomonas syringae pv. morsprunorum (CABI, 2021). P. syringae pv. morsprunorum has been reported on peach (Ahmed et al., 2018) – Psm1 (P. amygdali pv morsprunorum), but seems to be rare.</w:t>
      </w:r>
      <w:r>
        <w:rPr>
          <w:color w:val="F30000"/>
          <w:sz w:val="24"/>
          <w:szCs w:val="24"/>
        </w:rPr>
        <w:br/>
        <w:t xml:space="preserve">P. syringae pv. morsprunorum overwinters in cankers and other diseased tissues, in contaminated buds and occasionally in the tree's vascular system. In spring, bacteria associated with overwintering sites are disseminated by splashing rain on to blossoms, fruits and leaves. Bacteria in dormant buds colonize blossoms and leaves as they unfold. Epiphytic populations of P. syringae pv. morsprunorum develop on the surface of symptomless blossoms and leaves from bloom through to leaf fall in the autumn (Crosse, 1966; Hattingh et al., 1989; cited from CABI, 2021).</w:t>
      </w:r>
      <w:r>
        <w:rPr>
          <w:color w:val="F30000"/>
          <w:sz w:val="24"/>
          <w:szCs w:val="24"/>
        </w:rPr>
        <w:br/>
        <w:br/>
        <w:t xml:space="preserve">Considering its very widespread distribution, the Fruit SEWG concluded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Mean disease incidence was recorded as 49% on a cultivar locally known as 6 1/2 (Ahmed et al., 2018).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Planting trees that are budded or grafted about 32 inches above the root crown can help suppress bacterial canker infections. Bacterial canker tends to mostly affect weak trees, so any management practice that improves tree vigour (e.g., lighter, more frequent irrigation, improved tree nutrition, nematode management, etc.) will help to reduce the incidence of this disease (UC PMG,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seems rare on peach and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Ahmed R, Inam-ul-Haq M, Shahzad U, Hyder S, Shahzaman S, Khan AUR, Aatif HM, Ahmad A &amp; Gondal AS (2018) First report of bacterial canker caused by Pseudomonas syringae pv. morsprunorum race 1 on peach from Khyber Pakhtunkhwa Province of Pakistan. Plant Disease 102, 2027. 10.1094/PDIS-10-17-1618-PDN</w:t>
      </w:r>
    </w:p>
    <w:p>
      <w:pPr>
        <w:numPr>
          <w:ilvl w:val="0"/>
          <w:numId w:val="1"/>
        </w:numPr>
        <w:spacing w:before="0" w:after="0" w:line="240" w:lineRule="auto"/>
        <w:jc w:val="left"/>
        <w:rPr>
          <w:color w:val="0200C9"/>
          <w:sz w:val="24"/>
          <w:szCs w:val="24"/>
        </w:rPr>
      </w:pPr>
      <w:r>
        <w:rPr>
          <w:color w:val="0200C9"/>
          <w:sz w:val="24"/>
          <w:szCs w:val="24"/>
        </w:rPr>
        <w:t xml:space="preserve">CABI (2021) Pseudomonas syringae pv. morsprunorum (bacterial canker of stone fruits) (accessed 12/Aug/2024). CABI Compendium. </w:t>
      </w:r>
      <w:hyperlink r:id="rId92686a7b26df344a6" w:history="1">
        <w:r>
          <w:rPr>
            <w:color w:val="0200C9"/>
            <w:sz w:val="24"/>
            <w:szCs w:val="24"/>
          </w:rPr>
          <w:t xml:space="preserve">https://doi.org/10.1079/cabicompendium.44978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Crosse JE (1966) Epidemiological relations of the Pseudomonad pathogens of deciduous fruit trees. Annual Review of Phytopathology 4, 291-310.</w:t>
      </w:r>
    </w:p>
    <w:p>
      <w:pPr>
        <w:numPr>
          <w:ilvl w:val="0"/>
          <w:numId w:val="1"/>
        </w:numPr>
        <w:spacing w:before="0" w:after="0" w:line="240" w:lineRule="auto"/>
        <w:jc w:val="left"/>
        <w:rPr>
          <w:color w:val="0200C9"/>
          <w:sz w:val="24"/>
          <w:szCs w:val="24"/>
        </w:rPr>
      </w:pPr>
      <w:r>
        <w:rPr>
          <w:color w:val="0200C9"/>
          <w:sz w:val="24"/>
          <w:szCs w:val="24"/>
        </w:rPr>
        <w:t xml:space="preserve">Hattingh MJ, Roos IMM &amp; Mansvelt EL (1989) Infection and systemic invasion of deciduous fruit trees by Pseudomonas syringae in South Africa. Plant Disease 73(10), 784-789.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344080">
    <w:multiLevelType w:val="hybridMultilevel"/>
    <w:lvl w:ilvl="0" w:tplc="49881542">
      <w:start w:val="1"/>
      <w:numFmt w:val="decimal"/>
      <w:lvlText w:val="%1."/>
      <w:lvlJc w:val="left"/>
      <w:pPr>
        <w:ind w:left="720" w:hanging="360"/>
      </w:pPr>
    </w:lvl>
    <w:lvl w:ilvl="1" w:tplc="49881542" w:tentative="1">
      <w:start w:val="1"/>
      <w:numFmt w:val="lowerLetter"/>
      <w:lvlText w:val="%2."/>
      <w:lvlJc w:val="left"/>
      <w:pPr>
        <w:ind w:left="1440" w:hanging="360"/>
      </w:pPr>
    </w:lvl>
    <w:lvl w:ilvl="2" w:tplc="49881542" w:tentative="1">
      <w:start w:val="1"/>
      <w:numFmt w:val="lowerRoman"/>
      <w:lvlText w:val="%3."/>
      <w:lvlJc w:val="right"/>
      <w:pPr>
        <w:ind w:left="2160" w:hanging="180"/>
      </w:pPr>
    </w:lvl>
    <w:lvl w:ilvl="3" w:tplc="49881542" w:tentative="1">
      <w:start w:val="1"/>
      <w:numFmt w:val="decimal"/>
      <w:lvlText w:val="%4."/>
      <w:lvlJc w:val="left"/>
      <w:pPr>
        <w:ind w:left="2880" w:hanging="360"/>
      </w:pPr>
    </w:lvl>
    <w:lvl w:ilvl="4" w:tplc="49881542" w:tentative="1">
      <w:start w:val="1"/>
      <w:numFmt w:val="lowerLetter"/>
      <w:lvlText w:val="%5."/>
      <w:lvlJc w:val="left"/>
      <w:pPr>
        <w:ind w:left="3600" w:hanging="360"/>
      </w:pPr>
    </w:lvl>
    <w:lvl w:ilvl="5" w:tplc="49881542" w:tentative="1">
      <w:start w:val="1"/>
      <w:numFmt w:val="lowerRoman"/>
      <w:lvlText w:val="%6."/>
      <w:lvlJc w:val="right"/>
      <w:pPr>
        <w:ind w:left="4320" w:hanging="180"/>
      </w:pPr>
    </w:lvl>
    <w:lvl w:ilvl="6" w:tplc="49881542" w:tentative="1">
      <w:start w:val="1"/>
      <w:numFmt w:val="decimal"/>
      <w:lvlText w:val="%7."/>
      <w:lvlJc w:val="left"/>
      <w:pPr>
        <w:ind w:left="5040" w:hanging="360"/>
      </w:pPr>
    </w:lvl>
    <w:lvl w:ilvl="7" w:tplc="49881542" w:tentative="1">
      <w:start w:val="1"/>
      <w:numFmt w:val="lowerLetter"/>
      <w:lvlText w:val="%8."/>
      <w:lvlJc w:val="left"/>
      <w:pPr>
        <w:ind w:left="5760" w:hanging="360"/>
      </w:pPr>
    </w:lvl>
    <w:lvl w:ilvl="8" w:tplc="49881542" w:tentative="1">
      <w:start w:val="1"/>
      <w:numFmt w:val="lowerRoman"/>
      <w:lvlText w:val="%9."/>
      <w:lvlJc w:val="right"/>
      <w:pPr>
        <w:ind w:left="6480" w:hanging="180"/>
      </w:pPr>
    </w:lvl>
  </w:abstractNum>
  <w:abstractNum w:abstractNumId="48344079">
    <w:multiLevelType w:val="hybridMultilevel"/>
    <w:lvl w:ilvl="0" w:tplc="688347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344079">
    <w:abstractNumId w:val="48344079"/>
  </w:num>
  <w:num w:numId="48344080">
    <w:abstractNumId w:val="483440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6175145" Type="http://schemas.microsoft.com/office/2011/relationships/commentsExtended" Target="commentsExtended.xml"/><Relationship Id="rId32356a7b26df33e9e" Type="http://schemas.openxmlformats.org/officeDocument/2006/relationships/hyperlink" Target="https://gd.eppo.int/" TargetMode="External"/><Relationship Id="rId92686a7b26df344a6" Type="http://schemas.openxmlformats.org/officeDocument/2006/relationships/hyperlink" Target="https://doi.org/10.1079/cabicompendium.4497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