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5206a3fb7f57a7df"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4-30 Certification scheme for almond, apricot, peach and plum.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t xml:space="preserve">P syringae is not common in nurseries (UC PMG, 2017).</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Losses from P. syringae pv. morsprunorum are less severe than those from P. syringae pv. syringae, in part because pv. morsprunorum has a more restrictive host range and geographic distribution than pathovar syringae. The killing of buds, fruiting spurs and branches, and infection of fruits reduces yields. The impact of sporadic disease outbreaks can last for several years due to the time required for infected trees to replace lost bearing surface. Infection of young trees may cause tree mortality or adversely affect tree form (CABI, 2021).</w:t>
      </w:r>
      <w:r>
        <w:rPr>
          <w:color w:val="606060"/>
          <w:sz w:val="24"/>
          <w:szCs w:val="24"/>
        </w:rPr>
        <w:br/>
        <w:t xml:space="preserve">Although P. syringae pv. morsprunorum is widely distributed, absence of the bacterium may be an important consideration for stone fruit-growing areas where the bacterium does not (yet) occur. The bacterium would not be expected to represent a serious risk for areas where bacterial canker, caused by P. syringae pv. syringae, already exists (CABI, 2021).</w:t>
      </w:r>
      <w:r>
        <w:rPr>
          <w:color w:val="606060"/>
          <w:sz w:val="24"/>
          <w:szCs w:val="24"/>
        </w:rPr>
        <w:br/>
        <w:t xml:space="preserve">Bacterial canker of apricots is an important disease in regions of production with cold winters and conducive soils (Parisi et al. 2019). The disease is worse in low, gravelly, sandy spots, soils with shallow claypans, or other soil conditions that lead to weakened growth. vigorous trees are less susceptible to bacterial canker, while young trees (2–8 years old) are most affected. The disease rarely occurs in the first year of planting unless the ground is not fumigated before planting. It is uncommon in nurseries (UC ARN, 2017).</w:t>
      </w:r>
      <w:r>
        <w:rPr>
          <w:color w:val="606060"/>
          <w:sz w:val="24"/>
          <w:szCs w:val="24"/>
        </w:rPr>
        <w:br/>
        <w:t xml:space="preserve">Both Pseudomonas amygdali pv. morsprunorum (Psm1) and P. avellanae pv. morsprunorum (Psm2) have been reported to induce canker, dieback, necrosis on leaves, fruit and blossom on Prunus armeniaca, for Psm1 is had been confirmed by controlled pathogenicity tests (see Table 1 Hulin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47996a3fb7f57ac6b"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(1956). Bacterial canker of stone-fruits. II. Leaf scar infection of cherry. Journal of Horticultural Science 31, 212-224.</w:t>
      </w:r>
    </w:p>
    <w:p>
      <w:pPr>
        <w:numPr>
          <w:ilvl w:val="0"/>
          <w:numId w:val="1"/>
        </w:numPr>
        <w:spacing w:before="0" w:after="0" w:line="240" w:lineRule="auto"/>
        <w:jc w:val="left"/>
        <w:rPr>
          <w:color w:val="0200C9"/>
          <w:sz w:val="24"/>
          <w:szCs w:val="24"/>
        </w:rPr>
      </w:pPr>
      <w:r>
        <w:rPr>
          <w:color w:val="0200C9"/>
          <w:sz w:val="24"/>
          <w:szCs w:val="24"/>
        </w:rPr>
        <w:t xml:space="preserve">Crosse JE (1957) Bacterial canker of stone-fruits. III. Inoculum concentration and time of inoculations in relation to leaf-scar infection of cherry. Annuals of Applied Biology 45, 19-35.</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p>
      <w:pPr>
        <w:numPr>
          <w:ilvl w:val="0"/>
          <w:numId w:val="1"/>
        </w:numPr>
        <w:spacing w:before="0" w:after="0" w:line="240" w:lineRule="auto"/>
        <w:jc w:val="left"/>
        <w:rPr>
          <w:color w:val="0200C9"/>
          <w:sz w:val="24"/>
          <w:szCs w:val="24"/>
        </w:rPr>
      </w:pPr>
      <w:r>
        <w:rPr>
          <w:color w:val="0200C9"/>
          <w:sz w:val="24"/>
          <w:szCs w:val="24"/>
        </w:rPr>
        <w:t xml:space="preserve">Hignett RC (1974). Absorption of Pseudomonas morsprunorum through cherry leaf scars. Journal of General Microbiology 80(2), 501-506.</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Latorre BA, Jones AL, 1979. Evaluation of weeds and plant refuse as potential sources of inoculum of Pseudomonas syringae in bacterial canker of cherry. Phytopathology, 69(10):1122-1125.</w:t>
      </w:r>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22886a3fb7f57ad2b"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Roos IMM &amp; Hattingh MJ (1987b). Systemic invasion of cherry leaves and petioles by Pseudomonas syringae pv. morsprunorum. Phytopathology 77(9), 1246-1252.</w:t>
      </w:r>
    </w:p>
    <w:p>
      <w:pPr>
        <w:numPr>
          <w:ilvl w:val="0"/>
          <w:numId w:val="1"/>
        </w:numPr>
        <w:spacing w:before="0" w:after="0" w:line="240" w:lineRule="auto"/>
        <w:jc w:val="left"/>
        <w:rPr>
          <w:color w:val="0200C9"/>
          <w:sz w:val="24"/>
          <w:szCs w:val="24"/>
        </w:rPr>
      </w:pPr>
      <w:r>
        <w:rPr>
          <w:color w:val="0200C9"/>
          <w:sz w:val="24"/>
          <w:szCs w:val="24"/>
        </w:rPr>
        <w:t xml:space="preserve">Sundin GW, Jones AL &amp; Olson BD (1988). Overwintering and population dynamics of Pseudomonas syringae pv. syringae and P.s. pv. morsprunorum on sweet and sour cherry trees. Canadian Journal of Plant Pathology 10(4), 281-288.</w:t>
      </w:r>
    </w:p>
    <w:p>
      <w:pPr>
        <w:numPr>
          <w:ilvl w:val="0"/>
          <w:numId w:val="1"/>
        </w:numPr>
        <w:spacing w:before="0" w:after="0" w:line="240" w:lineRule="auto"/>
        <w:jc w:val="left"/>
        <w:rPr>
          <w:color w:val="0200C9"/>
          <w:sz w:val="24"/>
          <w:szCs w:val="24"/>
        </w:rPr>
      </w:pPr>
      <w:r>
        <w:rPr>
          <w:color w:val="0200C9"/>
          <w:sz w:val="24"/>
          <w:szCs w:val="24"/>
        </w:rPr>
        <w:t xml:space="preserve">UC PMG (2017) Bacterial canker. In Pest management guidelines – Apricot. Publication 3433. University of California Agriculture and Natural Resources, pages 59-60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46785">
    <w:multiLevelType w:val="hybridMultilevel"/>
    <w:lvl w:ilvl="0" w:tplc="35231186">
      <w:start w:val="1"/>
      <w:numFmt w:val="decimal"/>
      <w:lvlText w:val="%1."/>
      <w:lvlJc w:val="left"/>
      <w:pPr>
        <w:ind w:left="720" w:hanging="360"/>
      </w:pPr>
    </w:lvl>
    <w:lvl w:ilvl="1" w:tplc="35231186" w:tentative="1">
      <w:start w:val="1"/>
      <w:numFmt w:val="lowerLetter"/>
      <w:lvlText w:val="%2."/>
      <w:lvlJc w:val="left"/>
      <w:pPr>
        <w:ind w:left="1440" w:hanging="360"/>
      </w:pPr>
    </w:lvl>
    <w:lvl w:ilvl="2" w:tplc="35231186" w:tentative="1">
      <w:start w:val="1"/>
      <w:numFmt w:val="lowerRoman"/>
      <w:lvlText w:val="%3."/>
      <w:lvlJc w:val="right"/>
      <w:pPr>
        <w:ind w:left="2160" w:hanging="180"/>
      </w:pPr>
    </w:lvl>
    <w:lvl w:ilvl="3" w:tplc="35231186" w:tentative="1">
      <w:start w:val="1"/>
      <w:numFmt w:val="decimal"/>
      <w:lvlText w:val="%4."/>
      <w:lvlJc w:val="left"/>
      <w:pPr>
        <w:ind w:left="2880" w:hanging="360"/>
      </w:pPr>
    </w:lvl>
    <w:lvl w:ilvl="4" w:tplc="35231186" w:tentative="1">
      <w:start w:val="1"/>
      <w:numFmt w:val="lowerLetter"/>
      <w:lvlText w:val="%5."/>
      <w:lvlJc w:val="left"/>
      <w:pPr>
        <w:ind w:left="3600" w:hanging="360"/>
      </w:pPr>
    </w:lvl>
    <w:lvl w:ilvl="5" w:tplc="35231186" w:tentative="1">
      <w:start w:val="1"/>
      <w:numFmt w:val="lowerRoman"/>
      <w:lvlText w:val="%6."/>
      <w:lvlJc w:val="right"/>
      <w:pPr>
        <w:ind w:left="4320" w:hanging="180"/>
      </w:pPr>
    </w:lvl>
    <w:lvl w:ilvl="6" w:tplc="35231186" w:tentative="1">
      <w:start w:val="1"/>
      <w:numFmt w:val="decimal"/>
      <w:lvlText w:val="%7."/>
      <w:lvlJc w:val="left"/>
      <w:pPr>
        <w:ind w:left="5040" w:hanging="360"/>
      </w:pPr>
    </w:lvl>
    <w:lvl w:ilvl="7" w:tplc="35231186" w:tentative="1">
      <w:start w:val="1"/>
      <w:numFmt w:val="lowerLetter"/>
      <w:lvlText w:val="%8."/>
      <w:lvlJc w:val="left"/>
      <w:pPr>
        <w:ind w:left="5760" w:hanging="360"/>
      </w:pPr>
    </w:lvl>
    <w:lvl w:ilvl="8" w:tplc="35231186" w:tentative="1">
      <w:start w:val="1"/>
      <w:numFmt w:val="lowerRoman"/>
      <w:lvlText w:val="%9."/>
      <w:lvlJc w:val="right"/>
      <w:pPr>
        <w:ind w:left="6480" w:hanging="180"/>
      </w:pPr>
    </w:lvl>
  </w:abstractNum>
  <w:abstractNum w:abstractNumId="65846784">
    <w:multiLevelType w:val="hybridMultilevel"/>
    <w:lvl w:ilvl="0" w:tplc="28305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46784">
    <w:abstractNumId w:val="65846784"/>
  </w:num>
  <w:num w:numId="65846785">
    <w:abstractNumId w:val="658467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306153" Type="http://schemas.microsoft.com/office/2011/relationships/commentsExtended" Target="commentsExtended.xml"/><Relationship Id="rId75206a3fb7f57a7df" Type="http://schemas.openxmlformats.org/officeDocument/2006/relationships/hyperlink" Target="https://gd.eppo.int/" TargetMode="External"/><Relationship Id="rId47996a3fb7f57ac6b" Type="http://schemas.openxmlformats.org/officeDocument/2006/relationships/hyperlink" Target="https://doi.org/10.1079/cabicompendium.44978" TargetMode="External"/><Relationship Id="rId22886a3fb7f57ad2b"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