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amygdali pv. morsprunorum &amp; P. avellanae pv. morsprunorum {Pseudomonas syringae pv. morsprunorum} (PSDMAM for P. amygdali &amp; PSDMAL for P. avellanae)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mors-prunorum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Various Pseudomonas spp. have been reported to be associated with bacterial canker disease (BCD) in Prunus spp. (for overview see Hulin et al., 2020; Table 1).</w:t>
      </w:r>
      <w:r>
        <w:rPr>
          <w:color w:val="0200C9"/>
          <w:sz w:val="24"/>
          <w:szCs w:val="24"/>
        </w:rPr>
        <w:br/>
        <w:t xml:space="preserve">Pseudomonas syringae pv. morsprunorum has been split in two groups and renamed (see Hulin et al., 2020):</w:t>
      </w:r>
      <w:r>
        <w:rPr>
          <w:color w:val="0200C9"/>
          <w:sz w:val="24"/>
          <w:szCs w:val="24"/>
        </w:rPr>
        <w:br/>
        <w:t xml:space="preserve">- P. amygdali pv. morsprunorum (PG03) (formerly P. syringae pv. morsprunorum Race 1, Psm1), and</w:t>
      </w:r>
      <w:r>
        <w:rPr>
          <w:color w:val="0200C9"/>
          <w:sz w:val="24"/>
          <w:szCs w:val="24"/>
        </w:rPr>
        <w:br/>
        <w:t xml:space="preserve">- P. avellanae pv. morsprunorum (PG01b) (formerly P. syringae pv. morsprunorum Race 2, Psm2).</w:t>
      </w:r>
      <w:r>
        <w:rPr>
          <w:color w:val="0200C9"/>
          <w:sz w:val="24"/>
          <w:szCs w:val="24"/>
        </w:rPr>
        <w:br/>
        <w:t xml:space="preserve">This RNQP summarysheet covers both taxa.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61036a042529a2c3f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dulcis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Inspection for 'Pseudomonas syringae pv. morsprunorum' is recommended in EPPO Standard PM 4-30 Certification scheme for almond, apricot, peach and plum. However, in the responses to the questionnaire, DE and FR supported deregulation; DE arguing that feasible and effective measures were not available. FR considered that, if not deregulated, thresholds should be adapted. Evaluation continues on the measures.</w:t>
      </w:r>
      <w:r>
        <w:rPr>
          <w:color w:val="0200C9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Prunus spp. are considered to be significant hosts of Pseudomonas syringae pv. morsprunorum. However, P. syringae pv. morsprunorum is not reported on almond (P. dulcis) (CABI, 2021).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although various species belonging to the Pseudomonas syringae species/pathovar complex can cause Pseudomonas bacteria canker on almond (Prunus dulcis), P. syringae pv. morsprunorum is not reported on almond.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(2021) Pseudomonas syringae pv. morsprunorum (bacterial canker of stone fruits) (accessed 12/Aug/2024). CABI Compendium. </w:t>
      </w:r>
      <w:hyperlink r:id="rId13906a042529a3019" w:history="1">
        <w:r>
          <w:rPr>
            <w:color w:val="0200C9"/>
            <w:sz w:val="24"/>
            <w:szCs w:val="24"/>
          </w:rPr>
          <w:t xml:space="preserve">https://doi.org/10.1079/cabicompendium.44978</w:t>
        </w:r>
      </w:hyperlink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Hulin MT, Jackson RW, Harrison RJ &amp; Mansfield JW (2020). Cherry picking by pseudomonads: After a century of research on canker, genomics provides insights into the evolution of pathogenicity towards stone fruits. Plant Pathology 69(6), 962-978. doi: 10.1111/ppa.13189.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024513">
    <w:multiLevelType w:val="hybridMultilevel"/>
    <w:lvl w:ilvl="0" w:tplc="43777027">
      <w:start w:val="1"/>
      <w:numFmt w:val="decimal"/>
      <w:lvlText w:val="%1."/>
      <w:lvlJc w:val="left"/>
      <w:pPr>
        <w:ind w:left="720" w:hanging="360"/>
      </w:pPr>
    </w:lvl>
    <w:lvl w:ilvl="1" w:tplc="43777027" w:tentative="1">
      <w:start w:val="1"/>
      <w:numFmt w:val="lowerLetter"/>
      <w:lvlText w:val="%2."/>
      <w:lvlJc w:val="left"/>
      <w:pPr>
        <w:ind w:left="1440" w:hanging="360"/>
      </w:pPr>
    </w:lvl>
    <w:lvl w:ilvl="2" w:tplc="43777027" w:tentative="1">
      <w:start w:val="1"/>
      <w:numFmt w:val="lowerRoman"/>
      <w:lvlText w:val="%3."/>
      <w:lvlJc w:val="right"/>
      <w:pPr>
        <w:ind w:left="2160" w:hanging="180"/>
      </w:pPr>
    </w:lvl>
    <w:lvl w:ilvl="3" w:tplc="43777027" w:tentative="1">
      <w:start w:val="1"/>
      <w:numFmt w:val="decimal"/>
      <w:lvlText w:val="%4."/>
      <w:lvlJc w:val="left"/>
      <w:pPr>
        <w:ind w:left="2880" w:hanging="360"/>
      </w:pPr>
    </w:lvl>
    <w:lvl w:ilvl="4" w:tplc="43777027" w:tentative="1">
      <w:start w:val="1"/>
      <w:numFmt w:val="lowerLetter"/>
      <w:lvlText w:val="%5."/>
      <w:lvlJc w:val="left"/>
      <w:pPr>
        <w:ind w:left="3600" w:hanging="360"/>
      </w:pPr>
    </w:lvl>
    <w:lvl w:ilvl="5" w:tplc="43777027" w:tentative="1">
      <w:start w:val="1"/>
      <w:numFmt w:val="lowerRoman"/>
      <w:lvlText w:val="%6."/>
      <w:lvlJc w:val="right"/>
      <w:pPr>
        <w:ind w:left="4320" w:hanging="180"/>
      </w:pPr>
    </w:lvl>
    <w:lvl w:ilvl="6" w:tplc="43777027" w:tentative="1">
      <w:start w:val="1"/>
      <w:numFmt w:val="decimal"/>
      <w:lvlText w:val="%7."/>
      <w:lvlJc w:val="left"/>
      <w:pPr>
        <w:ind w:left="5040" w:hanging="360"/>
      </w:pPr>
    </w:lvl>
    <w:lvl w:ilvl="7" w:tplc="43777027" w:tentative="1">
      <w:start w:val="1"/>
      <w:numFmt w:val="lowerLetter"/>
      <w:lvlText w:val="%8."/>
      <w:lvlJc w:val="left"/>
      <w:pPr>
        <w:ind w:left="5760" w:hanging="360"/>
      </w:pPr>
    </w:lvl>
    <w:lvl w:ilvl="8" w:tplc="437770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24512">
    <w:multiLevelType w:val="hybridMultilevel"/>
    <w:lvl w:ilvl="0" w:tplc="636679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024512">
    <w:abstractNumId w:val="67024512"/>
  </w:num>
  <w:num w:numId="67024513">
    <w:abstractNumId w:val="670245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8024951" Type="http://schemas.microsoft.com/office/2011/relationships/commentsExtended" Target="commentsExtended.xml"/><Relationship Id="rId61036a042529a2c3f" Type="http://schemas.openxmlformats.org/officeDocument/2006/relationships/hyperlink" Target="https://gd.eppo.int/" TargetMode="External"/><Relationship Id="rId13906a042529a3019" Type="http://schemas.openxmlformats.org/officeDocument/2006/relationships/hyperlink" Target="https://doi.org/10.1079/cabicompendium.44978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