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savastanoi pv. savastanoi (PSDMSA)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Pseudomonas savastanoi comprises of five different pathovars of woody hosts:</w:t>
      </w:r>
      <w:r>
        <w:rPr>
          <w:color w:val="0200C9"/>
          <w:sz w:val="24"/>
          <w:szCs w:val="24"/>
        </w:rPr>
        <w:br/>
        <w:t xml:space="preserve">- P. savastanoi pv. savastanoi (olive, Olea europaea),</w:t>
      </w:r>
      <w:r>
        <w:rPr>
          <w:color w:val="0200C9"/>
          <w:sz w:val="24"/>
          <w:szCs w:val="24"/>
        </w:rPr>
        <w:br/>
        <w:t xml:space="preserve">- P. savastanoi pv. nerii (oleander, Nerium oleander),</w:t>
      </w:r>
      <w:r>
        <w:rPr>
          <w:color w:val="0200C9"/>
          <w:sz w:val="24"/>
          <w:szCs w:val="24"/>
        </w:rPr>
        <w:br/>
        <w:t xml:space="preserve">- P. savastanoi pv. fraxini (ash, Fraxinus excelsior),</w:t>
      </w:r>
      <w:r>
        <w:rPr>
          <w:color w:val="0200C9"/>
          <w:sz w:val="24"/>
          <w:szCs w:val="24"/>
        </w:rPr>
        <w:br/>
        <w:t xml:space="preserve">- P. savastanoi pv. retacarpa (yellow broom, Retama sphaerocarpa) and</w:t>
      </w:r>
      <w:r>
        <w:rPr>
          <w:color w:val="0200C9"/>
          <w:sz w:val="24"/>
          <w:szCs w:val="24"/>
        </w:rPr>
        <w:br/>
        <w:t xml:space="preserve">- P. savastanoi pv. mandevillae (Mandevila spp.).</w:t>
      </w:r>
      <w:r>
        <w:rPr>
          <w:color w:val="0200C9"/>
          <w:sz w:val="24"/>
          <w:szCs w:val="24"/>
        </w:rPr>
        <w:br/>
        <w:t xml:space="preserve">These pathovars produce knots (P. savastanoi pv. savastanoi, pv. nerii and pv. retacarpa), excrescences (P. savastanoi pv. fraxini) and necrotic spots on leaves and knot formation on stems (P. savastanoi pv. mandevilliae) (Caballo-Ponce et al., 2021). Although the pathovars show differences in host range, several are able to induce knots in olive: P. savastanoi pv. savastanoi, pv. nerii, pv. fraxini and pv. mandevillae (Ramos et al., 2012; Moreno-Pérez et al., 2020; Caballo-Ponce et al., 2021). Here was focused on the disease aspect “olive knot”.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visual examination to prevent infection with Pseudomonas savastonoi pv. savastonoi. However, in the responses to the questionnaire, PL and SI supported deregulation in the EU considering that plants for planting was not the main pathway and that economic impact was acceptable.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savastanoi pv. savastanoi is a pathogen of olive and is present in all olive-growing areas in the world. The bacterial disease can be transported over indefinitely long distances in infected propagation material. Olive knot can become established in a new area if diseased plants are introduced and not promptly eradicated (CABI, 2021).</w:t>
      </w:r>
      <w:r>
        <w:rPr>
          <w:color w:val="F30000"/>
          <w:sz w:val="24"/>
          <w:szCs w:val="24"/>
        </w:rPr>
        <w:br/>
        <w:t xml:space="preserve">Once established, the main sources of P. savastanoi pv. savastanoi inoculum are bacteria oozing from cracks in knots, or epiphytic bacteria on host plants. The short distance spread of inoculum is mainly mediated by wind-driven rain, but agricultural practices such as pruning, grafting, and fruit harvesting can also contribute to local spread. Insects may have a significant role in the dispersal of the pathogen, but evidence of this is lacking or contradictory (CABI, 2021).</w:t>
      </w:r>
      <w:r>
        <w:rPr>
          <w:color w:val="F30000"/>
          <w:sz w:val="24"/>
          <w:szCs w:val="24"/>
        </w:rPr>
        <w:br/>
        <w:t xml:space="preserve">Olive knot disease incidence is generally correlated with rainfall and is more severe in higher rainfall areas or during years of high rainfall. They are readily spread by water at all times of the year. Bacteria survive in galls and as epiphytes on leaves and twigs. As an epiphyte they may be spread on asymptomatic plant tissue. Infection occurs in fall, winter, and spring. The knots develop in late spring when trees resume growth and continue to develop through summer. Openings are necessary for penetration of bacteria, and these are provided by leaf scars, pruning wounds, or bark cracks made by freezing. Freeze injury can lead to disease epidemics because the resulting defoliation and bark splitting normally occur during the winter when rain occurs and can spread the disease (UC IPM, 2014).</w:t>
      </w:r>
      <w:r>
        <w:rPr>
          <w:color w:val="F30000"/>
          <w:sz w:val="24"/>
          <w:szCs w:val="24"/>
        </w:rPr>
        <w:br/>
        <w:t xml:space="preserve">[In the responses to the questionnaire, SI commented that 'Bacteria can spread over long distances from infected trees. Planting of uninfected material seems pointless if infected trees are in vicinity'.]</w:t>
      </w:r>
      <w:r>
        <w:rPr>
          <w:color w:val="F30000"/>
          <w:sz w:val="24"/>
          <w:szCs w:val="24"/>
        </w:rPr>
        <w:br/>
        <w:t xml:space="preserve">Considering its widespread presence in the EU, the Fruit SEWG concluded that plants for planting was not a significant pathway compared to natural spread in most situations. Locally, e.g. in Spain where many vineyards are removed in the recent years to plant olive orchards due to the increase in olive oil prices, plants for planting may become a significant pathway. However, asymptomatic testing was considered not to be cost-effective as this would only serve to protect limited new olive production areas. The general ‘substantially free from‘ requirement on traded material was considered enough for this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knot can girdle and kill trees if infections occur on the trunks of young trees. On older trees, it reduces productivity by girdling twigs and branches and causes dieback. Infection is also associated with an off-flavor of the fruit (UC PMG, 2014). Schroth et al. (1973) reported that olive plants with moderate infections (0.5-1 knots/ft (about 30 cm) of fruitwood) had smaller fruits and 28% lower fruit production than slightly infected plants (0.1-0.3 knots/ft of fruitwood), with a consequent reduction in farm income.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is the most important economic host. Dependent on the pathovar involved in symptoms development, other hosts like oleander and ash might be susceptible and develop symptoms.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Whole plants or plant parts (i.e. cuttings, buds, etc.) showing knots are easily recognized and discarded in nursery practice. However, bacterial populations of P. savastanoi pv. savastanoi on the phylloplane and as latent and systemic infections make highly dubious the practice of permitting the transfer of plants cleared by inspection to be moved to disease-free localities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The pathogen is present in all growing areas in the world.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Caballo-Ponce E, Pintado A, Moreno-Pérez A, Murillo J, Smalla K &amp; Ramos C (2021). Pseudomonas savastanoi pv. mandevillae pv. nov., a clonal pathogen causing an emerging, devastating disease of the ornamental plant Mandevilla spp. Phytopathology 111, 1277-1288. </w:t>
      </w:r>
      <w:hyperlink r:id="rId56246a3fc35f9cf88" w:history="1">
        <w:r>
          <w:rPr>
            <w:color w:val="0200C9"/>
            <w:sz w:val="24"/>
            <w:szCs w:val="24"/>
          </w:rPr>
          <w:t xml:space="preserve">https://doi.org/10.1094/PHYTO-11-20-0526-R</w:t>
        </w:r>
      </w:hyperlink>
    </w:p>
    <w:p>
      <w:pPr>
        <w:numPr>
          <w:ilvl w:val="0"/>
          <w:numId w:val="1"/>
        </w:numPr>
        <w:spacing w:before="0" w:after="0" w:line="240" w:lineRule="auto"/>
        <w:jc w:val="left"/>
        <w:rPr>
          <w:color w:val="0200C9"/>
          <w:sz w:val="24"/>
          <w:szCs w:val="24"/>
        </w:rPr>
      </w:pPr>
      <w:r>
        <w:rPr>
          <w:color w:val="0200C9"/>
          <w:sz w:val="24"/>
          <w:szCs w:val="24"/>
        </w:rPr>
        <w:t xml:space="preserve">CABI (2021) Pseudomonas savastanoi pv. savastanoi (oleander knot). CABI ditigial datasheet. </w:t>
      </w:r>
      <w:hyperlink r:id="rId72426a3fc35f9cfb9" w:history="1">
        <w:r>
          <w:rPr>
            <w:color w:val="0200C9"/>
            <w:sz w:val="24"/>
            <w:szCs w:val="24"/>
          </w:rPr>
          <w:t xml:space="preserve">https://www.cabidigitallibrary.org/doi/10.1079/cabicompendium.45004</w:t>
        </w:r>
      </w:hyperlink>
      <w:r>
        <w:rPr>
          <w:color w:val="0200C9"/>
          <w:sz w:val="24"/>
          <w:szCs w:val="24"/>
        </w:rPr>
        <w:t xml:space="preserve">. (Accessed 09/Aug/2024).</w:t>
      </w:r>
    </w:p>
    <w:p>
      <w:pPr>
        <w:numPr>
          <w:ilvl w:val="0"/>
          <w:numId w:val="1"/>
        </w:numPr>
        <w:spacing w:before="0" w:after="0" w:line="240" w:lineRule="auto"/>
        <w:jc w:val="left"/>
        <w:rPr>
          <w:color w:val="0200C9"/>
          <w:sz w:val="24"/>
          <w:szCs w:val="24"/>
        </w:rPr>
      </w:pPr>
      <w:r>
        <w:rPr>
          <w:color w:val="0200C9"/>
          <w:sz w:val="24"/>
          <w:szCs w:val="24"/>
        </w:rPr>
        <w:t xml:space="preserve">Moreno-Pérez A, Pintado A, Murillo J, Caballo-Ponce E, Tegli S, Moretti C, Rodríguez-Palenzuela P &amp; Ramos C (2020) Host Range Determinants of Pseudomonas savastanoi pathovars of woody hosts revealed by comparative genomics and cross-pathogenicity tests. Frontiers in Plant Science 2(11), 973. doi: 10.3389/fpls.2020.00973.</w:t>
      </w:r>
    </w:p>
    <w:p>
      <w:pPr>
        <w:numPr>
          <w:ilvl w:val="0"/>
          <w:numId w:val="1"/>
        </w:numPr>
        <w:spacing w:before="0" w:after="0" w:line="240" w:lineRule="auto"/>
        <w:jc w:val="left"/>
        <w:rPr>
          <w:color w:val="0200C9"/>
          <w:sz w:val="24"/>
          <w:szCs w:val="24"/>
        </w:rPr>
      </w:pPr>
      <w:r>
        <w:rPr>
          <w:color w:val="0200C9"/>
          <w:sz w:val="24"/>
          <w:szCs w:val="24"/>
        </w:rPr>
        <w:t xml:space="preserve">Ramos C, Matas IM, Bardaji L, Aragón IM &amp; Murillo J (2012) Pseudomonas savastanoi pv. savastanoi: some like it knot. Molecular Plant Pathology 13(9), 998-1009. doi: 10.1111/j.1364-3703.2012.00816.x.</w:t>
      </w:r>
    </w:p>
    <w:p>
      <w:pPr>
        <w:numPr>
          <w:ilvl w:val="0"/>
          <w:numId w:val="1"/>
        </w:numPr>
        <w:spacing w:before="0" w:after="0" w:line="240" w:lineRule="auto"/>
        <w:jc w:val="left"/>
        <w:rPr>
          <w:color w:val="0200C9"/>
          <w:sz w:val="24"/>
          <w:szCs w:val="24"/>
        </w:rPr>
      </w:pPr>
      <w:r>
        <w:rPr>
          <w:color w:val="0200C9"/>
          <w:sz w:val="24"/>
          <w:szCs w:val="24"/>
        </w:rPr>
        <w:t xml:space="preserve">UC PMG (2014) Olive knot. In Olive, Pest management guidelines for agriculture. University of California Agriculture and Natural Resources, Publication 3452, 39-40. (Accessed 09/Aug/2024). </w:t>
      </w:r>
      <w:hyperlink r:id="rId75076a3fc35f9d014" w:history="1">
        <w:r>
          <w:rPr>
            <w:color w:val="0200C9"/>
            <w:sz w:val="24"/>
            <w:szCs w:val="24"/>
          </w:rPr>
          <w:t xml:space="preserve">https://ipm.ucanr.edu/legacy_assets/PDF/PMG/pmgolive.pdf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610216">
    <w:multiLevelType w:val="hybridMultilevel"/>
    <w:lvl w:ilvl="0" w:tplc="51124323">
      <w:start w:val="1"/>
      <w:numFmt w:val="decimal"/>
      <w:lvlText w:val="%1."/>
      <w:lvlJc w:val="left"/>
      <w:pPr>
        <w:ind w:left="720" w:hanging="360"/>
      </w:pPr>
    </w:lvl>
    <w:lvl w:ilvl="1" w:tplc="51124323" w:tentative="1">
      <w:start w:val="1"/>
      <w:numFmt w:val="lowerLetter"/>
      <w:lvlText w:val="%2."/>
      <w:lvlJc w:val="left"/>
      <w:pPr>
        <w:ind w:left="1440" w:hanging="360"/>
      </w:pPr>
    </w:lvl>
    <w:lvl w:ilvl="2" w:tplc="51124323" w:tentative="1">
      <w:start w:val="1"/>
      <w:numFmt w:val="lowerRoman"/>
      <w:lvlText w:val="%3."/>
      <w:lvlJc w:val="right"/>
      <w:pPr>
        <w:ind w:left="2160" w:hanging="180"/>
      </w:pPr>
    </w:lvl>
    <w:lvl w:ilvl="3" w:tplc="51124323" w:tentative="1">
      <w:start w:val="1"/>
      <w:numFmt w:val="decimal"/>
      <w:lvlText w:val="%4."/>
      <w:lvlJc w:val="left"/>
      <w:pPr>
        <w:ind w:left="2880" w:hanging="360"/>
      </w:pPr>
    </w:lvl>
    <w:lvl w:ilvl="4" w:tplc="51124323" w:tentative="1">
      <w:start w:val="1"/>
      <w:numFmt w:val="lowerLetter"/>
      <w:lvlText w:val="%5."/>
      <w:lvlJc w:val="left"/>
      <w:pPr>
        <w:ind w:left="3600" w:hanging="360"/>
      </w:pPr>
    </w:lvl>
    <w:lvl w:ilvl="5" w:tplc="51124323" w:tentative="1">
      <w:start w:val="1"/>
      <w:numFmt w:val="lowerRoman"/>
      <w:lvlText w:val="%6."/>
      <w:lvlJc w:val="right"/>
      <w:pPr>
        <w:ind w:left="4320" w:hanging="180"/>
      </w:pPr>
    </w:lvl>
    <w:lvl w:ilvl="6" w:tplc="51124323" w:tentative="1">
      <w:start w:val="1"/>
      <w:numFmt w:val="decimal"/>
      <w:lvlText w:val="%7."/>
      <w:lvlJc w:val="left"/>
      <w:pPr>
        <w:ind w:left="5040" w:hanging="360"/>
      </w:pPr>
    </w:lvl>
    <w:lvl w:ilvl="7" w:tplc="51124323" w:tentative="1">
      <w:start w:val="1"/>
      <w:numFmt w:val="lowerLetter"/>
      <w:lvlText w:val="%8."/>
      <w:lvlJc w:val="left"/>
      <w:pPr>
        <w:ind w:left="5760" w:hanging="360"/>
      </w:pPr>
    </w:lvl>
    <w:lvl w:ilvl="8" w:tplc="51124323" w:tentative="1">
      <w:start w:val="1"/>
      <w:numFmt w:val="lowerRoman"/>
      <w:lvlText w:val="%9."/>
      <w:lvlJc w:val="right"/>
      <w:pPr>
        <w:ind w:left="6480" w:hanging="180"/>
      </w:pPr>
    </w:lvl>
  </w:abstractNum>
  <w:abstractNum w:abstractNumId="21610215">
    <w:multiLevelType w:val="hybridMultilevel"/>
    <w:lvl w:ilvl="0" w:tplc="23111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10215">
    <w:abstractNumId w:val="21610215"/>
  </w:num>
  <w:num w:numId="21610216">
    <w:abstractNumId w:val="216102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350345" Type="http://schemas.microsoft.com/office/2011/relationships/commentsExtended" Target="commentsExtended.xml"/><Relationship Id="rId56246a3fc35f9cf88" Type="http://schemas.openxmlformats.org/officeDocument/2006/relationships/hyperlink" Target="https://doi.org/10.1094/PHYTO-11-20-0526-R" TargetMode="External"/><Relationship Id="rId72426a3fc35f9cfb9" Type="http://schemas.openxmlformats.org/officeDocument/2006/relationships/hyperlink" Target="https://www.cabidigitallibrary.org/doi/10.1079/cabicompendium.45004" TargetMode="External"/><Relationship Id="rId75076a3fc35f9d014" Type="http://schemas.openxmlformats.org/officeDocument/2006/relationships/hyperlink" Target="https://ipm.ucanr.edu/legacy_assets/PDF/PMG/pmgoliv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