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46a3fb897a4ce7"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(Uyemoto et al, 1992). 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peach, PNRSV, together with prune dwarf virus (PDV, another pollen dispersed ilarvirus), causes synergistic effects on growth reduction and yield losses. The resulting disease, peach stunt (PSD) is a frequently reported disease in the Mediterranean area (Myrta et al. 2003). Typical symptoms of PSD include stunting, shortening of internodes, reduction in fruit yield and vegetative growth, defoliation of leaves, rosetting, leaf chlorosis, gummosis, bark splitting, delay in bud break, as well as an increase in water sprouts production. Mixed infection could be more harmful than individual infections as PSD was associated with an 80% mortality in stone fruits in Morocco (Srhiri et al.1998; for review see Tayal et al. 2024). Uyemoto et al. (1992) reported that a double infection with PNRSV and PDV leading to peach stunt disease reduced fruit production, trunk diameter and tree height by ca. 30, 23 and 12% respectively over 3 years. In another publication, peach trees infected with PDV and PNRV were reported to display bark splitting and increased watersprout (sucker) production. Fruit yields were reduced by up to 60% in trees infected with both PNRSV and PDV (Scott et al.,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74596a3fb897a8245"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35406a3fb897a8375"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8406a3fb897a849c"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Scott SW, Zimmerman MT, Yilmaz S, Zehr EI &amp; Bachman E (2001) The interaction between Prunus necrotic ringspot virus and Prune dwarf virus in peach stunt disease. Acta Horticulturae 550, 229-236. </w:t>
      </w:r>
      <w:hyperlink r:id="rId66506a3fb897a8555" w:history="1">
        <w:r>
          <w:rPr>
            <w:color w:val="0200C9"/>
            <w:sz w:val="24"/>
            <w:szCs w:val="24"/>
          </w:rPr>
          <w:t xml:space="preserve">https://doi.org/10.17660/ActaHortic.2001.550.32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56516a3fb897a859c"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91229">
    <w:multiLevelType w:val="hybridMultilevel"/>
    <w:lvl w:ilvl="0" w:tplc="77363727">
      <w:start w:val="1"/>
      <w:numFmt w:val="decimal"/>
      <w:lvlText w:val="%1."/>
      <w:lvlJc w:val="left"/>
      <w:pPr>
        <w:ind w:left="720" w:hanging="360"/>
      </w:pPr>
    </w:lvl>
    <w:lvl w:ilvl="1" w:tplc="77363727" w:tentative="1">
      <w:start w:val="1"/>
      <w:numFmt w:val="lowerLetter"/>
      <w:lvlText w:val="%2."/>
      <w:lvlJc w:val="left"/>
      <w:pPr>
        <w:ind w:left="1440" w:hanging="360"/>
      </w:pPr>
    </w:lvl>
    <w:lvl w:ilvl="2" w:tplc="77363727" w:tentative="1">
      <w:start w:val="1"/>
      <w:numFmt w:val="lowerRoman"/>
      <w:lvlText w:val="%3."/>
      <w:lvlJc w:val="right"/>
      <w:pPr>
        <w:ind w:left="2160" w:hanging="180"/>
      </w:pPr>
    </w:lvl>
    <w:lvl w:ilvl="3" w:tplc="77363727" w:tentative="1">
      <w:start w:val="1"/>
      <w:numFmt w:val="decimal"/>
      <w:lvlText w:val="%4."/>
      <w:lvlJc w:val="left"/>
      <w:pPr>
        <w:ind w:left="2880" w:hanging="360"/>
      </w:pPr>
    </w:lvl>
    <w:lvl w:ilvl="4" w:tplc="77363727" w:tentative="1">
      <w:start w:val="1"/>
      <w:numFmt w:val="lowerLetter"/>
      <w:lvlText w:val="%5."/>
      <w:lvlJc w:val="left"/>
      <w:pPr>
        <w:ind w:left="3600" w:hanging="360"/>
      </w:pPr>
    </w:lvl>
    <w:lvl w:ilvl="5" w:tplc="77363727" w:tentative="1">
      <w:start w:val="1"/>
      <w:numFmt w:val="lowerRoman"/>
      <w:lvlText w:val="%6."/>
      <w:lvlJc w:val="right"/>
      <w:pPr>
        <w:ind w:left="4320" w:hanging="180"/>
      </w:pPr>
    </w:lvl>
    <w:lvl w:ilvl="6" w:tplc="77363727" w:tentative="1">
      <w:start w:val="1"/>
      <w:numFmt w:val="decimal"/>
      <w:lvlText w:val="%7."/>
      <w:lvlJc w:val="left"/>
      <w:pPr>
        <w:ind w:left="5040" w:hanging="360"/>
      </w:pPr>
    </w:lvl>
    <w:lvl w:ilvl="7" w:tplc="77363727" w:tentative="1">
      <w:start w:val="1"/>
      <w:numFmt w:val="lowerLetter"/>
      <w:lvlText w:val="%8."/>
      <w:lvlJc w:val="left"/>
      <w:pPr>
        <w:ind w:left="5760" w:hanging="360"/>
      </w:pPr>
    </w:lvl>
    <w:lvl w:ilvl="8" w:tplc="77363727" w:tentative="1">
      <w:start w:val="1"/>
      <w:numFmt w:val="lowerRoman"/>
      <w:lvlText w:val="%9."/>
      <w:lvlJc w:val="right"/>
      <w:pPr>
        <w:ind w:left="6480" w:hanging="180"/>
      </w:pPr>
    </w:lvl>
  </w:abstractNum>
  <w:abstractNum w:abstractNumId="51891228">
    <w:multiLevelType w:val="hybridMultilevel"/>
    <w:lvl w:ilvl="0" w:tplc="90881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91228">
    <w:abstractNumId w:val="51891228"/>
  </w:num>
  <w:num w:numId="51891229">
    <w:abstractNumId w:val="51891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578400" Type="http://schemas.microsoft.com/office/2011/relationships/commentsExtended" Target="commentsExtended.xml"/><Relationship Id="rId66346a3fb897a4ce7" Type="http://schemas.openxmlformats.org/officeDocument/2006/relationships/hyperlink" Target="https://gd.eppo.int/" TargetMode="External"/><Relationship Id="rId74596a3fb897a8245" Type="http://schemas.openxmlformats.org/officeDocument/2006/relationships/hyperlink" Target="https://doi.org/10.3390/horticulturae9080941" TargetMode="External"/><Relationship Id="rId35406a3fb897a8375" Type="http://schemas.openxmlformats.org/officeDocument/2006/relationships/hyperlink" Target="https://doi.org/10.1080/13102818.2021.1901608" TargetMode="External"/><Relationship Id="rId98406a3fb897a849c" Type="http://schemas.openxmlformats.org/officeDocument/2006/relationships/hyperlink" Target="https://doi.org/10.1094/PHYTOFR-02-22-0013-R" TargetMode="External"/><Relationship Id="rId66506a3fb897a8555" Type="http://schemas.openxmlformats.org/officeDocument/2006/relationships/hyperlink" Target="https://doi.org/10.17660/ActaHortic.2001.550.32" TargetMode="External"/><Relationship Id="rId56516a3fb897a859c"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