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0336ab6899bb7e64"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persica &amp; Prunus armeniaca</w:t>
      </w:r>
      <w:r>
        <w:rPr>
          <w:color w:val="0200C9"/>
          <w:sz w:val="24"/>
          <w:szCs w:val="24"/>
        </w:rPr>
        <w:br/>
        <w:t xml:space="preserve">Single virus infection by PNRSV significantly affected tree growth and fruit yield (Uyemoto et al, 1992). When peach cultivars were bud-inoculated with PNRSV, the trees developed foliar chlorotic rings and necrosis during the virus year after inoculation. Twig dieback, bark necrosis, root sprouts and trunk cankers developed during subsequent years. Symptoms on inoculated trees resembled those of the slow-decline disease prevalent in central Georgia orchards, particularly the extensive bark necrosis and longitudinal trunk cankers (Wells et al., 1986).</w:t>
      </w:r>
      <w:r>
        <w:rPr>
          <w:color w:val="0200C9"/>
          <w:sz w:val="24"/>
          <w:szCs w:val="24"/>
        </w:rPr>
        <w:br/>
        <w:t xml:space="preserve">PNRSV affected apricot and pollen germination (by ca. 58%) and delayed germination (Amari et al., 2007). Pollen of peach can also be affected by PNRSV: infection resulted in distorted shape, reduced viability, and germination of pollen grains, but the effect was cultivar dependent (Tayal et al., 2024).</w:t>
      </w:r>
      <w:r>
        <w:rPr>
          <w:color w:val="0200C9"/>
          <w:sz w:val="24"/>
          <w:szCs w:val="24"/>
        </w:rPr>
        <w:br/>
        <w:t xml:space="preserve">PNRSV has been observed to cause extensive economic losses to peach (Prunus persicae) and apricot (P. armaniaca) trees in Egypt. Symptoms are mostly expressed as necrotic ringspots on leaves, bud failure and poor quantity and quality of fruits (Abdel-Salam et al., 2007).</w:t>
      </w:r>
      <w:r>
        <w:rPr>
          <w:color w:val="0200C9"/>
          <w:sz w:val="24"/>
          <w:szCs w:val="24"/>
        </w:rPr>
        <w:br/>
        <w:t xml:space="preserve">In peach, PNRSV, together with prune dwarf virus (PDV, another pollen dispersed ilarvirus), causes synergistic effects on growth reduction and yield losses. The resulting disease, peach stunt (PSD) is a frequently reported disease in the Mediterranean area (Myrta et al. 2003). Typical symptoms of PSD include stunting, shortening of internodes, reduction in fruit yield and vegetative growth, defoliation of leaves, rosetting, leaf chlorosis, gummosis, bark splitting, delay in bud break, as well as an increase in water sprouts production. Mixed infection could be more harmful than individual infections as PSD was associated with an 80% mortality in stone fruits in Morocco (Srhiri et al.1998; for review see Tayal et al. 2024). Uyemoto et al. (1992) reported that a double infection with PNRSV and PDV leading to peach stunt disease reduced fruit production, trunk diameter and tree height by ca. 30, 23 and 12% respectively over 3 years. In another publication, peach trees infected with PDV and PNRV were reported to display bark splitting and increased watersprout (sucker) production. Fruit yields were reduced by up to 60% in trees infected with both PNRSV and PDV (Scott et al.,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57366ab6899bb843b"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68286ab6899bb8545"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16126ab6899bb8660"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Scott SW, Zimmerman MT, Yilmaz S, Zehr EI &amp; Bachman E (2001) The interaction between Prunus necrotic ringspot virus and Prune dwarf virus in peach stunt disease. Acta Horticulturae 550, 229-236. </w:t>
      </w:r>
      <w:hyperlink r:id="rId83786ab6899bb8710" w:history="1">
        <w:r>
          <w:rPr>
            <w:color w:val="0200C9"/>
            <w:sz w:val="24"/>
            <w:szCs w:val="24"/>
          </w:rPr>
          <w:t xml:space="preserve">https://doi.org/10.17660/ActaHortic.2001.550.32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72786ab6899bb8758"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41816">
    <w:multiLevelType w:val="hybridMultilevel"/>
    <w:lvl w:ilvl="0" w:tplc="73751169">
      <w:start w:val="1"/>
      <w:numFmt w:val="decimal"/>
      <w:lvlText w:val="%1."/>
      <w:lvlJc w:val="left"/>
      <w:pPr>
        <w:ind w:left="720" w:hanging="360"/>
      </w:pPr>
    </w:lvl>
    <w:lvl w:ilvl="1" w:tplc="73751169" w:tentative="1">
      <w:start w:val="1"/>
      <w:numFmt w:val="lowerLetter"/>
      <w:lvlText w:val="%2."/>
      <w:lvlJc w:val="left"/>
      <w:pPr>
        <w:ind w:left="1440" w:hanging="360"/>
      </w:pPr>
    </w:lvl>
    <w:lvl w:ilvl="2" w:tplc="73751169" w:tentative="1">
      <w:start w:val="1"/>
      <w:numFmt w:val="lowerRoman"/>
      <w:lvlText w:val="%3."/>
      <w:lvlJc w:val="right"/>
      <w:pPr>
        <w:ind w:left="2160" w:hanging="180"/>
      </w:pPr>
    </w:lvl>
    <w:lvl w:ilvl="3" w:tplc="73751169" w:tentative="1">
      <w:start w:val="1"/>
      <w:numFmt w:val="decimal"/>
      <w:lvlText w:val="%4."/>
      <w:lvlJc w:val="left"/>
      <w:pPr>
        <w:ind w:left="2880" w:hanging="360"/>
      </w:pPr>
    </w:lvl>
    <w:lvl w:ilvl="4" w:tplc="73751169" w:tentative="1">
      <w:start w:val="1"/>
      <w:numFmt w:val="lowerLetter"/>
      <w:lvlText w:val="%5."/>
      <w:lvlJc w:val="left"/>
      <w:pPr>
        <w:ind w:left="3600" w:hanging="360"/>
      </w:pPr>
    </w:lvl>
    <w:lvl w:ilvl="5" w:tplc="73751169" w:tentative="1">
      <w:start w:val="1"/>
      <w:numFmt w:val="lowerRoman"/>
      <w:lvlText w:val="%6."/>
      <w:lvlJc w:val="right"/>
      <w:pPr>
        <w:ind w:left="4320" w:hanging="180"/>
      </w:pPr>
    </w:lvl>
    <w:lvl w:ilvl="6" w:tplc="73751169" w:tentative="1">
      <w:start w:val="1"/>
      <w:numFmt w:val="decimal"/>
      <w:lvlText w:val="%7."/>
      <w:lvlJc w:val="left"/>
      <w:pPr>
        <w:ind w:left="5040" w:hanging="360"/>
      </w:pPr>
    </w:lvl>
    <w:lvl w:ilvl="7" w:tplc="73751169" w:tentative="1">
      <w:start w:val="1"/>
      <w:numFmt w:val="lowerLetter"/>
      <w:lvlText w:val="%8."/>
      <w:lvlJc w:val="left"/>
      <w:pPr>
        <w:ind w:left="5760" w:hanging="360"/>
      </w:pPr>
    </w:lvl>
    <w:lvl w:ilvl="8" w:tplc="73751169" w:tentative="1">
      <w:start w:val="1"/>
      <w:numFmt w:val="lowerRoman"/>
      <w:lvlText w:val="%9."/>
      <w:lvlJc w:val="right"/>
      <w:pPr>
        <w:ind w:left="6480" w:hanging="180"/>
      </w:pPr>
    </w:lvl>
  </w:abstractNum>
  <w:abstractNum w:abstractNumId="96041815">
    <w:multiLevelType w:val="hybridMultilevel"/>
    <w:lvl w:ilvl="0" w:tplc="91418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41815">
    <w:abstractNumId w:val="96041815"/>
  </w:num>
  <w:num w:numId="96041816">
    <w:abstractNumId w:val="96041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8569792" Type="http://schemas.microsoft.com/office/2011/relationships/commentsExtended" Target="commentsExtended.xml"/><Relationship Id="rId10336ab6899bb7e64" Type="http://schemas.openxmlformats.org/officeDocument/2006/relationships/hyperlink" Target="https://gd.eppo.int/" TargetMode="External"/><Relationship Id="rId57366ab6899bb843b" Type="http://schemas.openxmlformats.org/officeDocument/2006/relationships/hyperlink" Target="https://doi.org/10.3390/horticulturae9080941" TargetMode="External"/><Relationship Id="rId68286ab6899bb8545" Type="http://schemas.openxmlformats.org/officeDocument/2006/relationships/hyperlink" Target="https://doi.org/10.1080/13102818.2021.1901608" TargetMode="External"/><Relationship Id="rId16126ab6899bb8660" Type="http://schemas.openxmlformats.org/officeDocument/2006/relationships/hyperlink" Target="https://doi.org/10.1094/PHYTOFR-02-22-0013-R" TargetMode="External"/><Relationship Id="rId83786ab6899bb8710" Type="http://schemas.openxmlformats.org/officeDocument/2006/relationships/hyperlink" Target="https://doi.org/10.17660/ActaHortic.2001.550.32" TargetMode="External"/><Relationship Id="rId72786ab6899bb8758"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