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24936a7b277ea3335"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Prunus spp.:</w:t>
      </w:r>
      <w:r>
        <w:rPr>
          <w:color w:val="0200C9"/>
          <w:sz w:val="24"/>
          <w:szCs w:val="24"/>
        </w:rPr>
        <w:br/>
        <w:t xml:space="preserve">Most Prunus spp. are suitable hosts of Pratylenchus vulnus (Plantwise Knowledge Bank, 2023). In general, symptoms linked to nematode problems are indicative, not diagnostic, because they are general effects of damage to roots and can result from either biotic or abiotic causes (UC IPM, 2017b).</w:t>
      </w:r>
      <w:r>
        <w:rPr>
          <w:color w:val="0200C9"/>
          <w:sz w:val="24"/>
          <w:szCs w:val="24"/>
        </w:rPr>
        <w:br/>
        <w:t xml:space="preserve">In Spain, Pratylenchus vulnus has been found in nurseries and commercial orchards and has been pathogenic on several Prunus rootstocks (Pinochet et al., 1991, 1993). This migratory endoparasitic nematode causes the destruction of the root system, which results in loss of vigour and yield in young and mature trees. The economic importance of lesion nematodes in the development of orchard replant problems has been recognized for the last 40 years (Bertrand, 1989; Nyczepir and Halbrendt, 1993; cited from Plantwise Knowledge Databank, 2023).</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Prunus is widely demonstrated, as well as the potential impacts on other hosts (Malus, Pyrus).</w:t>
      </w:r>
      <w:r>
        <w:rPr>
          <w:color w:val="0200C9"/>
          <w:sz w:val="24"/>
          <w:szCs w:val="24"/>
        </w:rPr>
        <w:br/>
        <w:br/>
        <w:t xml:space="preserve">Most commercial Prunus rootstocks are susceptible to Pratylenchus vulnus attack (Di Vito et al., 2002; Pinochet, 2011). The best sources of resistance remain in wild Prunus species such as P. tomentosa and P. fremontii but they have major detrimental traits for plant breeding, and they do not cross or graft with commercial rootstock material (Stalin et al., 1998). In addition, host resistance to Pratylenchus spp. is usually only partial (Jones et al., 2013) and the recessive nature is suspected (Pinochet, 2011).</w:t>
      </w:r>
      <w:r>
        <w:rPr>
          <w:color w:val="0200C9"/>
          <w:sz w:val="24"/>
          <w:szCs w:val="24"/>
        </w:rPr>
        <w:br/>
        <w:br/>
        <w:t xml:space="preserve">It is also important to note that, in stone fruit trees, a variable response to different populations of P. vulnus has been observed, with some of them being notoriously more damaging. The aggressiveness is apparently determined by the high reproduction rate of the pathogen on some Prunus rootstocks. (Pinochet, 2011).</w:t>
      </w:r>
      <w:r>
        <w:rPr>
          <w:color w:val="0200C9"/>
          <w:sz w:val="24"/>
          <w:szCs w:val="24"/>
        </w:rPr>
        <w:br/>
        <w:br/>
        <w:t xml:space="preserve">The damage caused by Pratylenchus is usually most severe in light-textured soils that are low in nutrients (e.g. nitrogen, potassium, or calcium) and in organic matter (Anonymous, 1999).</w:t>
      </w:r>
      <w:r>
        <w:rPr>
          <w:color w:val="0200C9"/>
          <w:sz w:val="24"/>
          <w:szCs w:val="24"/>
        </w:rPr>
        <w:br/>
        <w:br/>
        <w:t xml:space="preserve">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 selection: Use certified nematode-free rootstocks. Resistance against Pratylenchus vulnus is variable (UC IPM, 2017a, b,c d) some rootstocks are more susceptible than others. Not many Prunus rootstocks are resistant against P. vulnus (McKendry, 2007).</w:t>
      </w:r>
      <w:r>
        <w:rPr>
          <w:color w:val="0200C9"/>
          <w:sz w:val="24"/>
          <w:szCs w:val="24"/>
        </w:rPr>
        <w:b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47216a7b277ea38af"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75546a7b277ea3c28"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61656a7b277ea3c65"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87356a7b277ea3d7d"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27806a7b277ea3e10"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96116a7b277ea3e76"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14766a7b277ea3ebb"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36646a7b277ea3ef8"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43356a7b277ea3f42"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51216a7b277ea3fe8"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176950">
    <w:multiLevelType w:val="hybridMultilevel"/>
    <w:lvl w:ilvl="0" w:tplc="26684241">
      <w:start w:val="1"/>
      <w:numFmt w:val="decimal"/>
      <w:lvlText w:val="%1."/>
      <w:lvlJc w:val="left"/>
      <w:pPr>
        <w:ind w:left="720" w:hanging="360"/>
      </w:pPr>
    </w:lvl>
    <w:lvl w:ilvl="1" w:tplc="26684241" w:tentative="1">
      <w:start w:val="1"/>
      <w:numFmt w:val="lowerLetter"/>
      <w:lvlText w:val="%2."/>
      <w:lvlJc w:val="left"/>
      <w:pPr>
        <w:ind w:left="1440" w:hanging="360"/>
      </w:pPr>
    </w:lvl>
    <w:lvl w:ilvl="2" w:tplc="26684241" w:tentative="1">
      <w:start w:val="1"/>
      <w:numFmt w:val="lowerRoman"/>
      <w:lvlText w:val="%3."/>
      <w:lvlJc w:val="right"/>
      <w:pPr>
        <w:ind w:left="2160" w:hanging="180"/>
      </w:pPr>
    </w:lvl>
    <w:lvl w:ilvl="3" w:tplc="26684241" w:tentative="1">
      <w:start w:val="1"/>
      <w:numFmt w:val="decimal"/>
      <w:lvlText w:val="%4."/>
      <w:lvlJc w:val="left"/>
      <w:pPr>
        <w:ind w:left="2880" w:hanging="360"/>
      </w:pPr>
    </w:lvl>
    <w:lvl w:ilvl="4" w:tplc="26684241" w:tentative="1">
      <w:start w:val="1"/>
      <w:numFmt w:val="lowerLetter"/>
      <w:lvlText w:val="%5."/>
      <w:lvlJc w:val="left"/>
      <w:pPr>
        <w:ind w:left="3600" w:hanging="360"/>
      </w:pPr>
    </w:lvl>
    <w:lvl w:ilvl="5" w:tplc="26684241" w:tentative="1">
      <w:start w:val="1"/>
      <w:numFmt w:val="lowerRoman"/>
      <w:lvlText w:val="%6."/>
      <w:lvlJc w:val="right"/>
      <w:pPr>
        <w:ind w:left="4320" w:hanging="180"/>
      </w:pPr>
    </w:lvl>
    <w:lvl w:ilvl="6" w:tplc="26684241" w:tentative="1">
      <w:start w:val="1"/>
      <w:numFmt w:val="decimal"/>
      <w:lvlText w:val="%7."/>
      <w:lvlJc w:val="left"/>
      <w:pPr>
        <w:ind w:left="5040" w:hanging="360"/>
      </w:pPr>
    </w:lvl>
    <w:lvl w:ilvl="7" w:tplc="26684241" w:tentative="1">
      <w:start w:val="1"/>
      <w:numFmt w:val="lowerLetter"/>
      <w:lvlText w:val="%8."/>
      <w:lvlJc w:val="left"/>
      <w:pPr>
        <w:ind w:left="5760" w:hanging="360"/>
      </w:pPr>
    </w:lvl>
    <w:lvl w:ilvl="8" w:tplc="26684241" w:tentative="1">
      <w:start w:val="1"/>
      <w:numFmt w:val="lowerRoman"/>
      <w:lvlText w:val="%9."/>
      <w:lvlJc w:val="right"/>
      <w:pPr>
        <w:ind w:left="6480" w:hanging="180"/>
      </w:pPr>
    </w:lvl>
  </w:abstractNum>
  <w:abstractNum w:abstractNumId="13176949">
    <w:multiLevelType w:val="hybridMultilevel"/>
    <w:lvl w:ilvl="0" w:tplc="139011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176949">
    <w:abstractNumId w:val="13176949"/>
  </w:num>
  <w:num w:numId="13176950">
    <w:abstractNumId w:val="131769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6279175" Type="http://schemas.microsoft.com/office/2011/relationships/commentsExtended" Target="commentsExtended.xml"/><Relationship Id="rId24936a7b277ea3335" Type="http://schemas.openxmlformats.org/officeDocument/2006/relationships/hyperlink" Target="https://gd.eppo.int/" TargetMode="External"/><Relationship Id="rId47216a7b277ea38af" Type="http://schemas.openxmlformats.org/officeDocument/2006/relationships/hyperlink" Target="https://www.aaltjesschema.nl/Home.aspx" TargetMode="External"/><Relationship Id="rId75546a7b277ea3c28" Type="http://schemas.openxmlformats.org/officeDocument/2006/relationships/hyperlink" Target="https://doi.org/10.3390/agriculture14040582" TargetMode="External"/><Relationship Id="rId61656a7b277ea3c65" Type="http://schemas.openxmlformats.org/officeDocument/2006/relationships/hyperlink" Target="https://ucanr.edu/sites/kac/files/86537.pdf" TargetMode="External"/><Relationship Id="rId87356a7b277ea3d7d" Type="http://schemas.openxmlformats.org/officeDocument/2006/relationships/hyperlink" Target="https://doi.org/10.1079/pwkb.species.43904" TargetMode="External"/><Relationship Id="rId27806a7b277ea3e10" Type="http://schemas.openxmlformats.org/officeDocument/2006/relationships/hyperlink" Target="https://ipm.ucanr.edu/legacy_assets/pdf/pmg/pmgfig.pdf" TargetMode="External"/><Relationship Id="rId96116a7b277ea3e76" Type="http://schemas.openxmlformats.org/officeDocument/2006/relationships/hyperlink" Target="http://www.ipm.ucanr.edu/PMG/selectnewpest.cherries.html" TargetMode="External"/><Relationship Id="rId14766a7b277ea3ebb" Type="http://schemas.openxmlformats.org/officeDocument/2006/relationships/hyperlink" Target="https://www2.ipm.ucanr.edu/agriculture/peach/" TargetMode="External"/><Relationship Id="rId36646a7b277ea3ef8" Type="http://schemas.openxmlformats.org/officeDocument/2006/relationships/hyperlink" Target="http://www.ipm.ucdavis.edu" TargetMode="External"/><Relationship Id="rId43356a7b277ea3f42" Type="http://schemas.openxmlformats.org/officeDocument/2006/relationships/hyperlink" Target="http://www.ipm.ucanr.edu/agriculture/apricot/" TargetMode="External"/><Relationship Id="rId51216a7b277ea3fe8" Type="http://schemas.openxmlformats.org/officeDocument/2006/relationships/hyperlink" Target="https://doi.org/10.5423/RPD.2017.23.2.1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